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1" w:rightFromText="181" w:vertAnchor="page" w:horzAnchor="margin" w:tblpXSpec="center" w:tblpY="2275"/>
        <w:tblOverlap w:val="never"/>
        <w:tblW w:w="10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4678"/>
        <w:gridCol w:w="2551"/>
      </w:tblGrid>
      <w:tr w:rsidR="00E03946" w14:paraId="39BA21E2" w14:textId="77777777" w:rsidTr="00C055F8">
        <w:trPr>
          <w:cantSplit/>
        </w:trPr>
        <w:tc>
          <w:tcPr>
            <w:tcW w:w="2835" w:type="dxa"/>
            <w:shd w:val="clear" w:color="auto" w:fill="BFBFBF"/>
            <w:vAlign w:val="center"/>
          </w:tcPr>
          <w:p w14:paraId="39BA21DF" w14:textId="77777777" w:rsidR="00C055F8" w:rsidRPr="00D4431F" w:rsidRDefault="00F24962" w:rsidP="00C055F8">
            <w:pPr>
              <w:spacing w:line="240" w:lineRule="auto"/>
              <w:jc w:val="center"/>
              <w:rPr>
                <w:rFonts w:cstheme="minorHAnsi"/>
                <w:b/>
                <w:bCs/>
              </w:rPr>
            </w:pPr>
            <w:bookmarkStart w:id="0" w:name="_Hlk75350991"/>
            <w:bookmarkEnd w:id="0"/>
            <w:r>
              <w:rPr>
                <w:rFonts w:cstheme="minorHAnsi"/>
                <w:b/>
                <w:bCs/>
              </w:rPr>
              <w:t>Report of</w:t>
            </w:r>
          </w:p>
        </w:tc>
        <w:tc>
          <w:tcPr>
            <w:tcW w:w="4678" w:type="dxa"/>
            <w:shd w:val="clear" w:color="auto" w:fill="BFBFBF"/>
          </w:tcPr>
          <w:p w14:paraId="39BA21E0" w14:textId="77777777" w:rsidR="00C055F8" w:rsidRDefault="00F24962" w:rsidP="00C055F8">
            <w:pPr>
              <w:spacing w:line="240" w:lineRule="auto"/>
              <w:jc w:val="center"/>
              <w:rPr>
                <w:rFonts w:cstheme="minorHAnsi"/>
                <w:b/>
                <w:bCs/>
              </w:rPr>
            </w:pPr>
            <w:r>
              <w:rPr>
                <w:rFonts w:cstheme="minorHAnsi"/>
                <w:b/>
                <w:bCs/>
              </w:rPr>
              <w:t>Meeting</w:t>
            </w:r>
          </w:p>
        </w:tc>
        <w:tc>
          <w:tcPr>
            <w:tcW w:w="2551" w:type="dxa"/>
            <w:shd w:val="clear" w:color="auto" w:fill="BFBFBF"/>
            <w:vAlign w:val="center"/>
          </w:tcPr>
          <w:p w14:paraId="39BA21E1" w14:textId="77777777" w:rsidR="00C055F8" w:rsidRPr="00D4431F" w:rsidRDefault="00F24962" w:rsidP="00C055F8">
            <w:pPr>
              <w:spacing w:line="240" w:lineRule="auto"/>
              <w:jc w:val="center"/>
              <w:rPr>
                <w:rFonts w:cstheme="minorHAnsi"/>
                <w:b/>
                <w:bCs/>
              </w:rPr>
            </w:pPr>
            <w:r>
              <w:rPr>
                <w:rFonts w:cstheme="minorHAnsi"/>
                <w:b/>
                <w:bCs/>
              </w:rPr>
              <w:t>Date</w:t>
            </w:r>
          </w:p>
        </w:tc>
      </w:tr>
      <w:tr w:rsidR="00E03946" w14:paraId="39BA21E7" w14:textId="77777777" w:rsidTr="00C055F8">
        <w:trPr>
          <w:cantSplit/>
          <w:trHeight w:val="942"/>
        </w:trPr>
        <w:tc>
          <w:tcPr>
            <w:tcW w:w="2835" w:type="dxa"/>
            <w:vAlign w:val="center"/>
          </w:tcPr>
          <w:p w14:paraId="39BA21E3" w14:textId="77777777" w:rsidR="00C055F8" w:rsidRPr="00ED4FF1" w:rsidRDefault="00F24962" w:rsidP="00C055F8">
            <w:pPr>
              <w:spacing w:after="0"/>
              <w:jc w:val="center"/>
            </w:pPr>
            <w:r>
              <w:t xml:space="preserve">Deputy </w:t>
            </w:r>
            <w:r w:rsidRPr="00ED4FF1">
              <w:fldChar w:fldCharType="begin"/>
            </w:r>
            <w:r>
              <w:instrText xml:space="preserve"> DOCPROPERTY  LeadDirector  \* MERGEFORMAT </w:instrText>
            </w:r>
            <w:r w:rsidRPr="00ED4FF1">
              <w:fldChar w:fldCharType="separate"/>
            </w:r>
            <w:r w:rsidRPr="00ED4FF1">
              <w:t>Chief Executive</w:t>
            </w:r>
            <w:r w:rsidRPr="00ED4FF1">
              <w:fldChar w:fldCharType="end"/>
            </w:r>
          </w:p>
          <w:p w14:paraId="39BA21E4" w14:textId="776C6A9D" w:rsidR="00C055F8" w:rsidRPr="00ED4FF1" w:rsidRDefault="00F24962" w:rsidP="00C055F8">
            <w:pPr>
              <w:jc w:val="center"/>
            </w:pPr>
            <w:r w:rsidRPr="00ED4FF1">
              <w:t>(Introduced by</w:t>
            </w:r>
            <w:r w:rsidR="00F771EF">
              <w:t xml:space="preserve"> the</w:t>
            </w:r>
            <w:r w:rsidRPr="00ED4FF1">
              <w:t xml:space="preserve"> </w:t>
            </w:r>
            <w:r w:rsidR="00F771EF" w:rsidRPr="00F771EF">
              <w:t xml:space="preserve">Leader of the Council, Cabinet Member (Strategy and Reform) </w:t>
            </w:r>
            <w:r w:rsidRPr="00ED4FF1">
              <w:t>)</w:t>
            </w:r>
          </w:p>
        </w:tc>
        <w:tc>
          <w:tcPr>
            <w:tcW w:w="4678" w:type="dxa"/>
            <w:vAlign w:val="center"/>
          </w:tcPr>
          <w:p w14:paraId="39BA21E5" w14:textId="77777777" w:rsidR="00C055F8" w:rsidRPr="00ED4FF1" w:rsidRDefault="00F24962" w:rsidP="00C055F8">
            <w:pPr>
              <w:spacing w:line="240" w:lineRule="auto"/>
              <w:jc w:val="center"/>
              <w:rPr>
                <w:rFonts w:cstheme="minorHAnsi"/>
              </w:rPr>
            </w:pPr>
            <w:r w:rsidRPr="00ED4FF1">
              <w:rPr>
                <w:rFonts w:cstheme="minorHAnsi"/>
              </w:rPr>
              <w:fldChar w:fldCharType="begin"/>
            </w:r>
            <w:r w:rsidRPr="00ED4FF1">
              <w:rPr>
                <w:rFonts w:cstheme="minorHAnsi"/>
              </w:rPr>
              <w:instrText xml:space="preserve"> DOCPROPERTY  CommitteeName  \* MERGEFORMAT </w:instrText>
            </w:r>
            <w:r w:rsidRPr="00ED4FF1">
              <w:rPr>
                <w:rFonts w:cstheme="minorHAnsi"/>
              </w:rPr>
              <w:fldChar w:fldCharType="separate"/>
            </w:r>
            <w:r w:rsidRPr="00ED4FF1">
              <w:rPr>
                <w:rFonts w:cstheme="minorHAnsi"/>
              </w:rPr>
              <w:t>Council</w:t>
            </w:r>
            <w:r w:rsidRPr="00ED4FF1">
              <w:rPr>
                <w:rFonts w:cstheme="minorHAnsi"/>
              </w:rPr>
              <w:fldChar w:fldCharType="end"/>
            </w:r>
          </w:p>
        </w:tc>
        <w:tc>
          <w:tcPr>
            <w:tcW w:w="2551" w:type="dxa"/>
            <w:vAlign w:val="center"/>
          </w:tcPr>
          <w:p w14:paraId="39BA21E6" w14:textId="77777777" w:rsidR="00C055F8" w:rsidRPr="00ED4FF1" w:rsidRDefault="00F24962" w:rsidP="00C055F8">
            <w:pPr>
              <w:spacing w:line="240" w:lineRule="auto"/>
              <w:jc w:val="center"/>
              <w:rPr>
                <w:rFonts w:cstheme="minorHAnsi"/>
              </w:rPr>
            </w:pPr>
            <w:r>
              <w:rPr>
                <w:rFonts w:cstheme="minorHAnsi"/>
              </w:rPr>
              <w:fldChar w:fldCharType="begin"/>
            </w:r>
            <w:r>
              <w:rPr>
                <w:rFonts w:cstheme="minorHAnsi"/>
              </w:rPr>
              <w:instrText xml:space="preserve"> DOCPROPERTY  MeetingDate  \* MERGEFORMAT </w:instrText>
            </w:r>
            <w:r>
              <w:rPr>
                <w:rFonts w:cstheme="minorHAnsi"/>
              </w:rPr>
              <w:fldChar w:fldCharType="separate"/>
            </w:r>
            <w:r>
              <w:rPr>
                <w:rFonts w:cstheme="minorHAnsi"/>
              </w:rPr>
              <w:t>Wednesday, 24 November 2021</w:t>
            </w:r>
            <w:r>
              <w:rPr>
                <w:rFonts w:cstheme="minorHAnsi"/>
              </w:rPr>
              <w:fldChar w:fldCharType="end"/>
            </w:r>
          </w:p>
        </w:tc>
      </w:tr>
    </w:tbl>
    <w:p w14:paraId="39BA21E8" w14:textId="77777777" w:rsidR="00C055F8" w:rsidRDefault="00F24962" w:rsidP="00C055F8">
      <w:pPr>
        <w:spacing w:after="0"/>
      </w:pPr>
      <w:r>
        <w:rPr>
          <w:rFonts w:cstheme="minorHAnsi"/>
          <w:b/>
          <w:bCs/>
          <w:noProof/>
        </w:rPr>
        <w:drawing>
          <wp:anchor distT="0" distB="0" distL="114300" distR="114300" simplePos="0" relativeHeight="251658240" behindDoc="0" locked="0" layoutInCell="1" allowOverlap="1" wp14:anchorId="39BA23D5" wp14:editId="39BA23D6">
            <wp:simplePos x="0" y="0"/>
            <wp:positionH relativeFrom="column">
              <wp:posOffset>-589280</wp:posOffset>
            </wp:positionH>
            <wp:positionV relativeFrom="page">
              <wp:posOffset>152400</wp:posOffset>
            </wp:positionV>
            <wp:extent cx="2296116" cy="1026160"/>
            <wp:effectExtent l="0" t="0" r="9525"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2701564" name="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97189" cy="1026640"/>
                    </a:xfrm>
                    <a:prstGeom prst="rect">
                      <a:avLst/>
                    </a:prstGeom>
                  </pic:spPr>
                </pic:pic>
              </a:graphicData>
            </a:graphic>
            <wp14:sizeRelH relativeFrom="margin">
              <wp14:pctWidth>0</wp14:pctWidth>
            </wp14:sizeRelH>
            <wp14:sizeRelV relativeFrom="margin">
              <wp14:pctHeight>0</wp14:pctHeight>
            </wp14:sizeRelV>
          </wp:anchor>
        </w:drawing>
      </w:r>
    </w:p>
    <w:p w14:paraId="39BA21E9" w14:textId="77777777" w:rsidR="00C055F8" w:rsidRDefault="00F24962" w:rsidP="00C055F8">
      <w:pPr>
        <w:pStyle w:val="Heading1"/>
        <w:spacing w:before="0" w:beforeAutospacing="0"/>
        <w:rPr>
          <w:rFonts w:asciiTheme="majorHAnsi" w:hAnsiTheme="majorHAnsi" w:cstheme="majorHAnsi"/>
          <w:sz w:val="28"/>
          <w:szCs w:val="28"/>
        </w:rPr>
      </w:pPr>
    </w:p>
    <w:p w14:paraId="39BA21EA" w14:textId="77777777" w:rsidR="00C055F8" w:rsidRDefault="00F24962" w:rsidP="00C055F8">
      <w:pPr>
        <w:spacing w:after="0"/>
      </w:pPr>
    </w:p>
    <w:p w14:paraId="39BA21EB" w14:textId="77777777" w:rsidR="00C055F8" w:rsidRDefault="00F24962" w:rsidP="00C055F8">
      <w:pPr>
        <w:pStyle w:val="Heading1"/>
        <w:spacing w:before="0" w:beforeAutospacing="0"/>
        <w:rPr>
          <w:rFonts w:asciiTheme="majorHAnsi" w:hAnsiTheme="majorHAnsi" w:cstheme="majorHAnsi"/>
          <w:sz w:val="28"/>
          <w:szCs w:val="28"/>
        </w:rPr>
      </w:pPr>
      <w:r w:rsidRPr="00883AC9">
        <w:rPr>
          <w:rFonts w:asciiTheme="majorHAnsi" w:hAnsiTheme="majorHAnsi" w:cstheme="majorHAnsi"/>
          <w:sz w:val="28"/>
          <w:szCs w:val="28"/>
        </w:rPr>
        <w:fldChar w:fldCharType="begin"/>
      </w:r>
      <w:r w:rsidRPr="00883AC9">
        <w:rPr>
          <w:rFonts w:asciiTheme="majorHAnsi" w:hAnsiTheme="majorHAnsi" w:cstheme="majorHAnsi"/>
          <w:sz w:val="28"/>
          <w:szCs w:val="28"/>
        </w:rPr>
        <w:instrText xml:space="preserve"> DOCPROPERTY  IssueTitle  \* MERGEFORMAT </w:instrText>
      </w:r>
      <w:r w:rsidRPr="00883AC9">
        <w:rPr>
          <w:rFonts w:asciiTheme="majorHAnsi" w:hAnsiTheme="majorHAnsi" w:cstheme="majorHAnsi"/>
          <w:sz w:val="28"/>
          <w:szCs w:val="28"/>
        </w:rPr>
        <w:fldChar w:fldCharType="separate"/>
      </w:r>
      <w:r w:rsidRPr="00883AC9">
        <w:rPr>
          <w:rFonts w:asciiTheme="majorHAnsi" w:hAnsiTheme="majorHAnsi" w:cstheme="majorHAnsi"/>
          <w:sz w:val="28"/>
          <w:szCs w:val="28"/>
        </w:rPr>
        <w:t>Corporate Strategy Update 2021</w:t>
      </w:r>
      <w:r w:rsidRPr="00883AC9">
        <w:rPr>
          <w:rFonts w:asciiTheme="majorHAnsi" w:hAnsiTheme="majorHAnsi" w:cstheme="majorHAnsi"/>
          <w:sz w:val="28"/>
          <w:szCs w:val="28"/>
        </w:rPr>
        <w:fldChar w:fldCharType="end"/>
      </w:r>
    </w:p>
    <w:tbl>
      <w:tblPr>
        <w:tblpPr w:leftFromText="181" w:rightFromText="181" w:vertAnchor="page" w:horzAnchor="margin" w:tblpXSpec="center" w:tblpY="471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4683"/>
      </w:tblGrid>
      <w:tr w:rsidR="00E03946" w14:paraId="39BA21EF" w14:textId="77777777" w:rsidTr="00C055F8">
        <w:tc>
          <w:tcPr>
            <w:tcW w:w="5382" w:type="dxa"/>
            <w:shd w:val="clear" w:color="auto" w:fill="auto"/>
          </w:tcPr>
          <w:p w14:paraId="39BA21EC" w14:textId="77777777" w:rsidR="00C055F8" w:rsidRPr="00D1305C" w:rsidRDefault="00F24962" w:rsidP="00C055F8">
            <w:pPr>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Is this report confidential?</w:t>
            </w:r>
          </w:p>
        </w:tc>
        <w:tc>
          <w:tcPr>
            <w:tcW w:w="4683" w:type="dxa"/>
            <w:shd w:val="clear" w:color="auto" w:fill="auto"/>
          </w:tcPr>
          <w:p w14:paraId="39BA21ED" w14:textId="77777777" w:rsidR="00C055F8" w:rsidRPr="00D1305C" w:rsidRDefault="00F24962" w:rsidP="00C055F8">
            <w:pPr>
              <w:spacing w:after="0"/>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 xml:space="preserve">No </w:t>
            </w:r>
          </w:p>
          <w:p w14:paraId="39BA21EE" w14:textId="77777777" w:rsidR="00C055F8" w:rsidRPr="00284E95" w:rsidRDefault="00F24962" w:rsidP="00C055F8">
            <w:pPr>
              <w:spacing w:after="0"/>
              <w:rPr>
                <w:rFonts w:eastAsia="Times New Roman" w:cstheme="minorHAnsi"/>
                <w:bCs/>
                <w:iCs/>
                <w:color w:val="000000" w:themeColor="text1"/>
                <w:kern w:val="36"/>
                <w:lang w:eastAsia="en-GB"/>
              </w:rPr>
            </w:pPr>
          </w:p>
        </w:tc>
      </w:tr>
    </w:tbl>
    <w:tbl>
      <w:tblPr>
        <w:tblpPr w:leftFromText="181" w:rightFromText="181" w:vertAnchor="page" w:horzAnchor="margin" w:tblpXSpec="center" w:tblpY="5596"/>
        <w:tblOverlap w:val="never"/>
        <w:tblW w:w="10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4687"/>
      </w:tblGrid>
      <w:tr w:rsidR="00E03946" w14:paraId="39BA21F3" w14:textId="77777777" w:rsidTr="00C055F8">
        <w:tc>
          <w:tcPr>
            <w:tcW w:w="5382" w:type="dxa"/>
            <w:shd w:val="clear" w:color="auto" w:fill="auto"/>
          </w:tcPr>
          <w:p w14:paraId="39BA21F0" w14:textId="77777777" w:rsidR="00C055F8" w:rsidRPr="00D1305C" w:rsidRDefault="00F24962" w:rsidP="00C055F8">
            <w:pPr>
              <w:rPr>
                <w:rFonts w:eastAsia="Times New Roman" w:cstheme="minorHAnsi"/>
                <w:bCs/>
                <w:color w:val="000000" w:themeColor="text1"/>
                <w:kern w:val="36"/>
                <w:lang w:eastAsia="en-GB"/>
              </w:rPr>
            </w:pPr>
            <w:r w:rsidRPr="00E22E70">
              <w:rPr>
                <w:rFonts w:eastAsia="Times New Roman" w:cstheme="minorHAnsi"/>
                <w:bCs/>
                <w:kern w:val="36"/>
                <w:lang w:eastAsia="en-GB"/>
              </w:rPr>
              <w:t xml:space="preserve">Is this </w:t>
            </w:r>
            <w:r w:rsidRPr="00E22E70">
              <w:rPr>
                <w:rFonts w:eastAsia="Times New Roman" w:cstheme="minorHAnsi"/>
                <w:bCs/>
                <w:kern w:val="36"/>
                <w:lang w:eastAsia="en-GB"/>
              </w:rPr>
              <w:t>decision key?</w:t>
            </w:r>
          </w:p>
        </w:tc>
        <w:tc>
          <w:tcPr>
            <w:tcW w:w="4687" w:type="dxa"/>
            <w:shd w:val="clear" w:color="auto" w:fill="auto"/>
          </w:tcPr>
          <w:p w14:paraId="39BA21F1" w14:textId="15A86C09" w:rsidR="00C055F8" w:rsidRDefault="00571E7D" w:rsidP="00C055F8">
            <w:pPr>
              <w:spacing w:after="0"/>
              <w:rPr>
                <w:rFonts w:eastAsia="Times New Roman" w:cstheme="minorHAnsi"/>
                <w:bCs/>
                <w:color w:val="000000" w:themeColor="text1"/>
                <w:kern w:val="36"/>
                <w:lang w:eastAsia="en-GB"/>
              </w:rPr>
            </w:pPr>
            <w:r>
              <w:rPr>
                <w:rFonts w:eastAsia="Times New Roman" w:cstheme="minorHAnsi"/>
                <w:bCs/>
                <w:color w:val="000000" w:themeColor="text1"/>
                <w:kern w:val="36"/>
                <w:lang w:eastAsia="en-GB"/>
              </w:rPr>
              <w:t xml:space="preserve">Not applicable </w:t>
            </w:r>
          </w:p>
          <w:p w14:paraId="39BA21F2" w14:textId="77777777" w:rsidR="00C055F8" w:rsidRPr="00284E95" w:rsidRDefault="00F24962" w:rsidP="00C055F8">
            <w:pPr>
              <w:spacing w:after="0"/>
              <w:rPr>
                <w:rFonts w:eastAsia="Times New Roman" w:cstheme="minorHAnsi"/>
                <w:bCs/>
                <w:color w:val="000000" w:themeColor="text1"/>
                <w:kern w:val="36"/>
                <w:lang w:eastAsia="en-GB"/>
              </w:rPr>
            </w:pPr>
          </w:p>
        </w:tc>
      </w:tr>
    </w:tbl>
    <w:p w14:paraId="39BA21F8" w14:textId="77777777" w:rsidR="00C055F8" w:rsidRPr="00ED4FF1" w:rsidRDefault="00F24962" w:rsidP="00C055F8">
      <w:pPr>
        <w:pStyle w:val="Heading1"/>
        <w:spacing w:before="480" w:beforeAutospacing="0"/>
        <w:rPr>
          <w:rFonts w:asciiTheme="majorHAnsi" w:hAnsiTheme="majorHAnsi" w:cstheme="majorHAnsi"/>
          <w:sz w:val="8"/>
          <w:szCs w:val="22"/>
        </w:rPr>
      </w:pPr>
      <w:bookmarkStart w:id="1" w:name="_GoBack"/>
      <w:bookmarkEnd w:id="1"/>
      <w:r w:rsidRPr="00ED4FF1">
        <w:rPr>
          <w:rFonts w:asciiTheme="majorHAnsi" w:hAnsiTheme="majorHAnsi" w:cstheme="majorHAnsi"/>
          <w:sz w:val="22"/>
        </w:rPr>
        <w:t>Purpose of the Report</w:t>
      </w:r>
    </w:p>
    <w:p w14:paraId="39BA21F9" w14:textId="77777777" w:rsidR="00C055F8" w:rsidRPr="003E3722" w:rsidRDefault="00F24962" w:rsidP="00C055F8">
      <w:pPr>
        <w:numPr>
          <w:ilvl w:val="0"/>
          <w:numId w:val="8"/>
        </w:numPr>
        <w:spacing w:after="0" w:line="240" w:lineRule="auto"/>
        <w:jc w:val="both"/>
        <w:rPr>
          <w:rFonts w:cstheme="minorHAnsi"/>
          <w:bCs/>
          <w:iCs/>
        </w:rPr>
      </w:pPr>
      <w:r w:rsidRPr="00D4431F">
        <w:rPr>
          <w:rFonts w:cstheme="minorHAnsi"/>
          <w:bCs/>
          <w:i/>
        </w:rPr>
        <w:t xml:space="preserve"> </w:t>
      </w:r>
      <w:r w:rsidRPr="00AD1E77">
        <w:rPr>
          <w:rFonts w:cstheme="minorHAnsi"/>
          <w:bCs/>
          <w:iCs/>
        </w:rPr>
        <w:t>To seek approval for the refresh of the Corporate Strategy 202</w:t>
      </w:r>
      <w:r>
        <w:rPr>
          <w:rFonts w:cstheme="minorHAnsi"/>
          <w:bCs/>
          <w:iCs/>
        </w:rPr>
        <w:t>1</w:t>
      </w:r>
      <w:r w:rsidRPr="00AD1E77">
        <w:rPr>
          <w:rFonts w:cstheme="minorHAnsi"/>
          <w:bCs/>
          <w:iCs/>
        </w:rPr>
        <w:t>/2</w:t>
      </w:r>
      <w:r>
        <w:rPr>
          <w:rFonts w:cstheme="minorHAnsi"/>
          <w:bCs/>
          <w:iCs/>
        </w:rPr>
        <w:t>2</w:t>
      </w:r>
      <w:r w:rsidRPr="00AD1E77">
        <w:rPr>
          <w:rFonts w:cstheme="minorHAnsi"/>
          <w:bCs/>
          <w:iCs/>
        </w:rPr>
        <w:t xml:space="preserve"> – 202</w:t>
      </w:r>
      <w:r>
        <w:rPr>
          <w:rFonts w:cstheme="minorHAnsi"/>
          <w:bCs/>
          <w:iCs/>
        </w:rPr>
        <w:t>3</w:t>
      </w:r>
      <w:r w:rsidRPr="00AD1E77">
        <w:rPr>
          <w:rFonts w:cstheme="minorHAnsi"/>
          <w:bCs/>
          <w:iCs/>
        </w:rPr>
        <w:t>/2</w:t>
      </w:r>
      <w:r>
        <w:rPr>
          <w:rFonts w:cstheme="minorHAnsi"/>
          <w:bCs/>
          <w:iCs/>
        </w:rPr>
        <w:t>4.</w:t>
      </w:r>
    </w:p>
    <w:p w14:paraId="39BA21FA" w14:textId="77777777" w:rsidR="00C055F8" w:rsidRDefault="00F24962" w:rsidP="00C055F8">
      <w:pPr>
        <w:spacing w:after="0" w:line="240" w:lineRule="auto"/>
        <w:jc w:val="both"/>
        <w:rPr>
          <w:rFonts w:cstheme="minorHAnsi"/>
          <w:bCs/>
        </w:rPr>
      </w:pPr>
    </w:p>
    <w:p w14:paraId="39BA21FB" w14:textId="77777777" w:rsidR="00C055F8" w:rsidRPr="00ED4FF1" w:rsidRDefault="00F24962" w:rsidP="00C055F8">
      <w:pPr>
        <w:pStyle w:val="Heading2"/>
      </w:pPr>
      <w:r w:rsidRPr="00ED4FF1">
        <w:t>Recommendations</w:t>
      </w:r>
      <w:r>
        <w:t xml:space="preserve"> to Council </w:t>
      </w:r>
    </w:p>
    <w:p w14:paraId="39BA21FC" w14:textId="77777777" w:rsidR="00C055F8" w:rsidRPr="00AD1E77" w:rsidRDefault="00F24962" w:rsidP="00C055F8">
      <w:pPr>
        <w:numPr>
          <w:ilvl w:val="0"/>
          <w:numId w:val="8"/>
        </w:numPr>
        <w:spacing w:after="0" w:line="240" w:lineRule="auto"/>
        <w:jc w:val="both"/>
        <w:rPr>
          <w:rFonts w:cstheme="minorHAnsi"/>
          <w:bCs/>
          <w:iCs/>
        </w:rPr>
      </w:pPr>
      <w:r>
        <w:rPr>
          <w:rFonts w:cstheme="minorHAnsi"/>
          <w:bCs/>
          <w:iCs/>
        </w:rPr>
        <w:t xml:space="preserve">That the </w:t>
      </w:r>
      <w:r w:rsidRPr="00AD1E77">
        <w:rPr>
          <w:rFonts w:cstheme="minorHAnsi"/>
          <w:bCs/>
          <w:iCs/>
        </w:rPr>
        <w:t>Corporate Strategy 202</w:t>
      </w:r>
      <w:r>
        <w:rPr>
          <w:rFonts w:cstheme="minorHAnsi"/>
          <w:bCs/>
          <w:iCs/>
        </w:rPr>
        <w:t>1</w:t>
      </w:r>
      <w:r w:rsidRPr="00AD1E77">
        <w:rPr>
          <w:rFonts w:cstheme="minorHAnsi"/>
          <w:bCs/>
          <w:iCs/>
        </w:rPr>
        <w:t>/2</w:t>
      </w:r>
      <w:r>
        <w:rPr>
          <w:rFonts w:cstheme="minorHAnsi"/>
          <w:bCs/>
          <w:iCs/>
        </w:rPr>
        <w:t>2</w:t>
      </w:r>
      <w:r w:rsidRPr="00AD1E77">
        <w:rPr>
          <w:rFonts w:cstheme="minorHAnsi"/>
          <w:bCs/>
          <w:iCs/>
        </w:rPr>
        <w:t xml:space="preserve"> – 202</w:t>
      </w:r>
      <w:r>
        <w:rPr>
          <w:rFonts w:cstheme="minorHAnsi"/>
          <w:bCs/>
          <w:iCs/>
        </w:rPr>
        <w:t>3</w:t>
      </w:r>
      <w:r w:rsidRPr="00AD1E77">
        <w:rPr>
          <w:rFonts w:cstheme="minorHAnsi"/>
          <w:bCs/>
          <w:iCs/>
        </w:rPr>
        <w:t>/2</w:t>
      </w:r>
      <w:r>
        <w:rPr>
          <w:rFonts w:cstheme="minorHAnsi"/>
          <w:bCs/>
          <w:iCs/>
        </w:rPr>
        <w:t xml:space="preserve">4 be approved. </w:t>
      </w:r>
    </w:p>
    <w:p w14:paraId="39BA21FD" w14:textId="77777777" w:rsidR="00C055F8" w:rsidRPr="00D4431F" w:rsidRDefault="00F24962" w:rsidP="00C055F8">
      <w:pPr>
        <w:spacing w:after="0" w:line="240" w:lineRule="auto"/>
        <w:jc w:val="both"/>
        <w:rPr>
          <w:rFonts w:cstheme="minorHAnsi"/>
          <w:bCs/>
        </w:rPr>
      </w:pPr>
    </w:p>
    <w:p w14:paraId="39BA21FE" w14:textId="77777777" w:rsidR="00C055F8" w:rsidRPr="00ED4FF1" w:rsidRDefault="00F24962" w:rsidP="00C055F8">
      <w:pPr>
        <w:pStyle w:val="Heading2"/>
        <w:rPr>
          <w:sz w:val="12"/>
          <w:szCs w:val="14"/>
        </w:rPr>
      </w:pPr>
      <w:r w:rsidRPr="00ED4FF1">
        <w:t>Reasons for recommendations</w:t>
      </w:r>
    </w:p>
    <w:p w14:paraId="39BA21FF" w14:textId="77777777" w:rsidR="00C055F8" w:rsidRPr="003E3722" w:rsidRDefault="00F24962" w:rsidP="00C055F8">
      <w:pPr>
        <w:numPr>
          <w:ilvl w:val="0"/>
          <w:numId w:val="8"/>
        </w:numPr>
        <w:spacing w:after="0" w:line="240" w:lineRule="auto"/>
        <w:rPr>
          <w:rFonts w:cstheme="minorHAnsi"/>
          <w:bCs/>
          <w:iCs/>
        </w:rPr>
      </w:pPr>
      <w:r>
        <w:t>To ensure that the Corporate Strategy reflects the needs of the borough and that council resources are directed towards key priorities.</w:t>
      </w:r>
    </w:p>
    <w:p w14:paraId="39BA2200" w14:textId="77777777" w:rsidR="00C055F8" w:rsidRPr="00D4431F" w:rsidRDefault="00F24962" w:rsidP="00C055F8">
      <w:pPr>
        <w:spacing w:after="0" w:line="240" w:lineRule="auto"/>
        <w:ind w:left="720"/>
        <w:jc w:val="both"/>
        <w:rPr>
          <w:rFonts w:cstheme="minorHAnsi"/>
          <w:bCs/>
        </w:rPr>
      </w:pPr>
    </w:p>
    <w:p w14:paraId="39BA2201" w14:textId="77777777" w:rsidR="00C055F8" w:rsidRPr="00ED4FF1" w:rsidRDefault="00F24962" w:rsidP="00C055F8">
      <w:pPr>
        <w:pStyle w:val="Heading2"/>
        <w:rPr>
          <w:i/>
        </w:rPr>
      </w:pPr>
      <w:r w:rsidRPr="00ED4FF1">
        <w:t>Other options considered and rejected</w:t>
      </w:r>
    </w:p>
    <w:p w14:paraId="39BA2202" w14:textId="77777777" w:rsidR="00C055F8" w:rsidRPr="005B15E3" w:rsidRDefault="00F24962" w:rsidP="005B15E3">
      <w:pPr>
        <w:numPr>
          <w:ilvl w:val="0"/>
          <w:numId w:val="8"/>
        </w:numPr>
        <w:spacing w:after="0" w:line="240" w:lineRule="auto"/>
        <w:rPr>
          <w:rFonts w:cstheme="minorHAnsi"/>
          <w:bCs/>
          <w:iCs/>
        </w:rPr>
      </w:pPr>
      <w:r w:rsidRPr="005B15E3">
        <w:rPr>
          <w:rFonts w:cstheme="minorHAnsi"/>
          <w:bCs/>
          <w:iCs/>
        </w:rPr>
        <w:t>The other option is to not review the strategy. However, this would mean that the Corporate Strategy may no longer reflect the needs of communities and businesses within the Borough, as well key projects and measures n</w:t>
      </w:r>
      <w:r w:rsidRPr="005B15E3">
        <w:rPr>
          <w:rFonts w:cstheme="minorHAnsi"/>
          <w:bCs/>
          <w:iCs/>
        </w:rPr>
        <w:t>o longer being relevant.</w:t>
      </w:r>
      <w:r w:rsidRPr="005B15E3">
        <w:rPr>
          <w:rFonts w:cstheme="minorHAnsi"/>
          <w:bCs/>
          <w:iCs/>
        </w:rPr>
        <w:cr/>
      </w:r>
    </w:p>
    <w:p w14:paraId="39BA2203" w14:textId="77777777" w:rsidR="00C055F8" w:rsidRPr="00ED4FF1" w:rsidRDefault="00F24962" w:rsidP="00C15153">
      <w:pPr>
        <w:pStyle w:val="Heading2"/>
      </w:pPr>
      <w:r w:rsidRPr="00ED4FF1">
        <w:t>Executive summary</w:t>
      </w:r>
    </w:p>
    <w:p w14:paraId="39BA2204" w14:textId="77777777" w:rsidR="00C055F8" w:rsidRPr="005179C5" w:rsidRDefault="00F24962" w:rsidP="00C055F8">
      <w:pPr>
        <w:numPr>
          <w:ilvl w:val="0"/>
          <w:numId w:val="8"/>
        </w:numPr>
        <w:spacing w:after="0" w:line="240" w:lineRule="auto"/>
        <w:rPr>
          <w:rFonts w:cstheme="minorHAnsi"/>
          <w:bCs/>
          <w:iCs/>
        </w:rPr>
      </w:pPr>
      <w:r w:rsidRPr="005179C5">
        <w:rPr>
          <w:rFonts w:cstheme="minorHAnsi"/>
          <w:bCs/>
          <w:iCs/>
        </w:rPr>
        <w:t xml:space="preserve">The Corporate Strategy is the key strategic document setting out the </w:t>
      </w:r>
      <w:r>
        <w:rPr>
          <w:rFonts w:cstheme="minorHAnsi"/>
          <w:bCs/>
          <w:iCs/>
        </w:rPr>
        <w:t>C</w:t>
      </w:r>
      <w:r w:rsidRPr="005179C5">
        <w:rPr>
          <w:rFonts w:cstheme="minorHAnsi"/>
          <w:bCs/>
          <w:iCs/>
        </w:rPr>
        <w:t>ouncil’s vision and priorities.  A full refresh was undertaken in October 2020 to ensure that the strategy remained fit for purpose</w:t>
      </w:r>
      <w:r>
        <w:rPr>
          <w:rFonts w:cstheme="minorHAnsi"/>
          <w:bCs/>
          <w:iCs/>
        </w:rPr>
        <w:t xml:space="preserve"> and</w:t>
      </w:r>
      <w:r w:rsidRPr="005179C5">
        <w:rPr>
          <w:rFonts w:cstheme="minorHAnsi"/>
          <w:bCs/>
          <w:iCs/>
        </w:rPr>
        <w:t xml:space="preserve"> </w:t>
      </w:r>
      <w:r>
        <w:rPr>
          <w:rFonts w:cstheme="minorHAnsi"/>
          <w:bCs/>
          <w:iCs/>
        </w:rPr>
        <w:t xml:space="preserve">to </w:t>
      </w:r>
      <w:r>
        <w:rPr>
          <w:rFonts w:cstheme="minorHAnsi"/>
          <w:bCs/>
          <w:iCs/>
        </w:rPr>
        <w:t>reflect the</w:t>
      </w:r>
      <w:r w:rsidRPr="005179C5">
        <w:rPr>
          <w:rFonts w:cstheme="minorHAnsi"/>
          <w:bCs/>
          <w:iCs/>
        </w:rPr>
        <w:t xml:space="preserve"> challenges and opportunities </w:t>
      </w:r>
      <w:r>
        <w:rPr>
          <w:rFonts w:cstheme="minorHAnsi"/>
          <w:bCs/>
          <w:iCs/>
        </w:rPr>
        <w:t>resulting from the</w:t>
      </w:r>
      <w:r w:rsidRPr="005179C5">
        <w:rPr>
          <w:rFonts w:cstheme="minorHAnsi"/>
          <w:bCs/>
          <w:iCs/>
        </w:rPr>
        <w:t xml:space="preserve"> pandemic. </w:t>
      </w:r>
    </w:p>
    <w:p w14:paraId="39BA2205" w14:textId="77777777" w:rsidR="00C055F8" w:rsidRPr="005179C5" w:rsidRDefault="00F24962" w:rsidP="00C055F8">
      <w:pPr>
        <w:spacing w:after="0" w:line="240" w:lineRule="auto"/>
        <w:ind w:left="360"/>
        <w:rPr>
          <w:rFonts w:cstheme="minorHAnsi"/>
          <w:bCs/>
          <w:iCs/>
        </w:rPr>
      </w:pPr>
    </w:p>
    <w:p w14:paraId="39BA2206" w14:textId="77777777" w:rsidR="00C055F8" w:rsidRPr="005179C5" w:rsidRDefault="00F24962" w:rsidP="00C055F8">
      <w:pPr>
        <w:numPr>
          <w:ilvl w:val="0"/>
          <w:numId w:val="8"/>
        </w:numPr>
        <w:spacing w:after="0" w:line="240" w:lineRule="auto"/>
        <w:rPr>
          <w:rFonts w:cstheme="minorHAnsi"/>
          <w:bCs/>
          <w:iCs/>
        </w:rPr>
      </w:pPr>
      <w:r w:rsidRPr="005179C5">
        <w:rPr>
          <w:rFonts w:cstheme="minorHAnsi"/>
          <w:bCs/>
          <w:iCs/>
        </w:rPr>
        <w:t xml:space="preserve">In line with the annual </w:t>
      </w:r>
      <w:r>
        <w:rPr>
          <w:rFonts w:cstheme="minorHAnsi"/>
          <w:bCs/>
          <w:iCs/>
        </w:rPr>
        <w:t>corporate</w:t>
      </w:r>
      <w:r w:rsidRPr="005179C5">
        <w:rPr>
          <w:rFonts w:cstheme="minorHAnsi"/>
          <w:bCs/>
          <w:iCs/>
        </w:rPr>
        <w:t xml:space="preserve"> planning cycle, a review of the strategy has been completed to assess overall progress and ensure </w:t>
      </w:r>
      <w:r>
        <w:rPr>
          <w:rFonts w:cstheme="minorHAnsi"/>
          <w:bCs/>
          <w:iCs/>
        </w:rPr>
        <w:t>that the strategy remains relevant</w:t>
      </w:r>
      <w:r w:rsidRPr="005179C5">
        <w:rPr>
          <w:rFonts w:cstheme="minorHAnsi"/>
          <w:bCs/>
          <w:iCs/>
        </w:rPr>
        <w:t>. The strategy has</w:t>
      </w:r>
      <w:r w:rsidRPr="005179C5">
        <w:rPr>
          <w:rFonts w:cstheme="minorHAnsi"/>
          <w:bCs/>
          <w:iCs/>
        </w:rPr>
        <w:t xml:space="preserve"> been updated and is included at </w:t>
      </w:r>
      <w:r>
        <w:rPr>
          <w:rFonts w:cstheme="minorHAnsi"/>
          <w:bCs/>
          <w:iCs/>
        </w:rPr>
        <w:t>A</w:t>
      </w:r>
      <w:r w:rsidRPr="005179C5">
        <w:rPr>
          <w:rFonts w:cstheme="minorHAnsi"/>
          <w:bCs/>
          <w:iCs/>
        </w:rPr>
        <w:t xml:space="preserve">ppendix </w:t>
      </w:r>
      <w:r>
        <w:rPr>
          <w:rFonts w:cstheme="minorHAnsi"/>
          <w:bCs/>
          <w:iCs/>
        </w:rPr>
        <w:t>C</w:t>
      </w:r>
      <w:r w:rsidRPr="005179C5">
        <w:rPr>
          <w:rFonts w:cstheme="minorHAnsi"/>
          <w:bCs/>
          <w:iCs/>
        </w:rPr>
        <w:t xml:space="preserve">. </w:t>
      </w:r>
    </w:p>
    <w:p w14:paraId="39BA2207" w14:textId="77777777" w:rsidR="00C055F8" w:rsidRPr="005179C5" w:rsidRDefault="00F24962" w:rsidP="00C055F8">
      <w:pPr>
        <w:spacing w:after="0" w:line="240" w:lineRule="auto"/>
        <w:ind w:left="360"/>
        <w:rPr>
          <w:rFonts w:cstheme="minorHAnsi"/>
          <w:bCs/>
          <w:iCs/>
        </w:rPr>
      </w:pPr>
    </w:p>
    <w:p w14:paraId="39BA2208" w14:textId="77777777" w:rsidR="00C055F8" w:rsidRPr="005179C5" w:rsidRDefault="00F24962" w:rsidP="00C055F8">
      <w:pPr>
        <w:numPr>
          <w:ilvl w:val="0"/>
          <w:numId w:val="8"/>
        </w:numPr>
        <w:spacing w:after="0" w:line="240" w:lineRule="auto"/>
        <w:rPr>
          <w:rFonts w:cstheme="minorHAnsi"/>
          <w:bCs/>
          <w:iCs/>
        </w:rPr>
      </w:pPr>
      <w:r w:rsidRPr="005179C5">
        <w:rPr>
          <w:rFonts w:cstheme="minorHAnsi"/>
          <w:bCs/>
          <w:iCs/>
        </w:rPr>
        <w:lastRenderedPageBreak/>
        <w:t>The approved vision and four corporate priorities adopted last year have been retained to demonstrate a commitment to the values and principles under which the administration was elected</w:t>
      </w:r>
      <w:r>
        <w:rPr>
          <w:rFonts w:cstheme="minorHAnsi"/>
          <w:bCs/>
          <w:iCs/>
        </w:rPr>
        <w:t>:</w:t>
      </w:r>
    </w:p>
    <w:p w14:paraId="39BA2209" w14:textId="77777777" w:rsidR="00C055F8" w:rsidRPr="005179C5" w:rsidRDefault="00F24962" w:rsidP="00C055F8">
      <w:pPr>
        <w:pStyle w:val="ListParagraph"/>
        <w:numPr>
          <w:ilvl w:val="0"/>
          <w:numId w:val="12"/>
        </w:numPr>
        <w:spacing w:after="0" w:line="240" w:lineRule="auto"/>
        <w:rPr>
          <w:rFonts w:cstheme="minorHAnsi"/>
          <w:bCs/>
          <w:iCs/>
        </w:rPr>
      </w:pPr>
      <w:r w:rsidRPr="005179C5">
        <w:rPr>
          <w:rFonts w:cstheme="minorHAnsi"/>
          <w:bCs/>
          <w:iCs/>
        </w:rPr>
        <w:t xml:space="preserve">An exemplary </w:t>
      </w:r>
      <w:r>
        <w:rPr>
          <w:rFonts w:cstheme="minorHAnsi"/>
          <w:bCs/>
          <w:iCs/>
        </w:rPr>
        <w:t>council,</w:t>
      </w:r>
    </w:p>
    <w:p w14:paraId="39BA220A" w14:textId="77777777" w:rsidR="00C055F8" w:rsidRPr="005179C5" w:rsidRDefault="00F24962" w:rsidP="00C055F8">
      <w:pPr>
        <w:pStyle w:val="ListParagraph"/>
        <w:numPr>
          <w:ilvl w:val="0"/>
          <w:numId w:val="12"/>
        </w:numPr>
        <w:spacing w:after="0" w:line="240" w:lineRule="auto"/>
        <w:rPr>
          <w:rFonts w:cstheme="minorHAnsi"/>
          <w:bCs/>
          <w:iCs/>
        </w:rPr>
      </w:pPr>
      <w:r w:rsidRPr="005179C5">
        <w:rPr>
          <w:rFonts w:cstheme="minorHAnsi"/>
          <w:bCs/>
          <w:iCs/>
        </w:rPr>
        <w:t>Thriving communities</w:t>
      </w:r>
      <w:r>
        <w:rPr>
          <w:rFonts w:cstheme="minorHAnsi"/>
          <w:bCs/>
          <w:iCs/>
        </w:rPr>
        <w:t>,</w:t>
      </w:r>
    </w:p>
    <w:p w14:paraId="39BA220B" w14:textId="77777777" w:rsidR="00C055F8" w:rsidRPr="005179C5" w:rsidRDefault="00F24962" w:rsidP="00C055F8">
      <w:pPr>
        <w:pStyle w:val="ListParagraph"/>
        <w:numPr>
          <w:ilvl w:val="0"/>
          <w:numId w:val="12"/>
        </w:numPr>
        <w:spacing w:after="0" w:line="240" w:lineRule="auto"/>
        <w:rPr>
          <w:rFonts w:cstheme="minorHAnsi"/>
          <w:bCs/>
          <w:iCs/>
        </w:rPr>
      </w:pPr>
      <w:r w:rsidRPr="005179C5">
        <w:rPr>
          <w:rFonts w:cstheme="minorHAnsi"/>
          <w:bCs/>
          <w:iCs/>
        </w:rPr>
        <w:t>A fair local economy that works for everyone</w:t>
      </w:r>
      <w:r>
        <w:rPr>
          <w:rFonts w:cstheme="minorHAnsi"/>
          <w:bCs/>
          <w:iCs/>
        </w:rPr>
        <w:t>,</w:t>
      </w:r>
    </w:p>
    <w:p w14:paraId="39BA220C" w14:textId="77777777" w:rsidR="00C055F8" w:rsidRPr="005179C5" w:rsidRDefault="00F24962" w:rsidP="00C055F8">
      <w:pPr>
        <w:pStyle w:val="ListParagraph"/>
        <w:numPr>
          <w:ilvl w:val="0"/>
          <w:numId w:val="12"/>
        </w:numPr>
        <w:spacing w:after="0" w:line="240" w:lineRule="auto"/>
        <w:rPr>
          <w:rFonts w:cstheme="minorHAnsi"/>
          <w:bCs/>
          <w:iCs/>
        </w:rPr>
      </w:pPr>
      <w:r w:rsidRPr="005179C5">
        <w:rPr>
          <w:rFonts w:cstheme="minorHAnsi"/>
          <w:bCs/>
          <w:iCs/>
        </w:rPr>
        <w:t>Good homes, green spaces, well places</w:t>
      </w:r>
      <w:r>
        <w:rPr>
          <w:rFonts w:cstheme="minorHAnsi"/>
          <w:bCs/>
          <w:iCs/>
        </w:rPr>
        <w:t>.</w:t>
      </w:r>
    </w:p>
    <w:p w14:paraId="39BA220D" w14:textId="77777777" w:rsidR="00C055F8" w:rsidRPr="005179C5" w:rsidRDefault="00F24962" w:rsidP="00C055F8">
      <w:pPr>
        <w:spacing w:after="0" w:line="240" w:lineRule="auto"/>
        <w:ind w:left="360"/>
        <w:rPr>
          <w:rFonts w:cstheme="minorHAnsi"/>
          <w:bCs/>
          <w:iCs/>
        </w:rPr>
      </w:pPr>
    </w:p>
    <w:p w14:paraId="39BA220E" w14:textId="77777777" w:rsidR="00C055F8" w:rsidRPr="005179C5" w:rsidRDefault="00F24962" w:rsidP="00C055F8">
      <w:pPr>
        <w:numPr>
          <w:ilvl w:val="0"/>
          <w:numId w:val="8"/>
        </w:numPr>
        <w:spacing w:after="0" w:line="240" w:lineRule="auto"/>
        <w:rPr>
          <w:rFonts w:cstheme="minorHAnsi"/>
          <w:bCs/>
          <w:iCs/>
        </w:rPr>
      </w:pPr>
      <w:r w:rsidRPr="005179C5">
        <w:rPr>
          <w:rFonts w:cstheme="minorHAnsi"/>
          <w:bCs/>
          <w:iCs/>
        </w:rPr>
        <w:t>This strategy builds on a year of significant progress</w:t>
      </w:r>
      <w:r>
        <w:rPr>
          <w:rFonts w:cstheme="minorHAnsi"/>
          <w:bCs/>
          <w:iCs/>
        </w:rPr>
        <w:t xml:space="preserve"> to deliver the corporate priorities,</w:t>
      </w:r>
      <w:r w:rsidRPr="005179C5">
        <w:rPr>
          <w:rFonts w:cstheme="minorHAnsi"/>
          <w:bCs/>
          <w:iCs/>
        </w:rPr>
        <w:t xml:space="preserve"> while continuing to deliver excellent quality services</w:t>
      </w:r>
      <w:r>
        <w:rPr>
          <w:rFonts w:cstheme="minorHAnsi"/>
          <w:bCs/>
          <w:iCs/>
        </w:rPr>
        <w:t>,</w:t>
      </w:r>
      <w:r>
        <w:rPr>
          <w:rFonts w:cstheme="minorHAnsi"/>
          <w:bCs/>
          <w:iCs/>
        </w:rPr>
        <w:t xml:space="preserve"> </w:t>
      </w:r>
      <w:r w:rsidRPr="005179C5">
        <w:rPr>
          <w:rFonts w:cstheme="minorHAnsi"/>
          <w:bCs/>
          <w:iCs/>
        </w:rPr>
        <w:t xml:space="preserve">providing support to residents in response to the pandemic. The Corporate Strategy for 2020 delivered key outcomes including </w:t>
      </w:r>
      <w:r>
        <w:rPr>
          <w:rFonts w:cstheme="minorHAnsi"/>
          <w:bCs/>
          <w:iCs/>
        </w:rPr>
        <w:t>new affordable housing units, implementing the new community hub model, progress with Worden Hall and the Leyland Town Deal and es</w:t>
      </w:r>
      <w:r>
        <w:rPr>
          <w:rFonts w:cstheme="minorHAnsi"/>
          <w:bCs/>
          <w:iCs/>
        </w:rPr>
        <w:t xml:space="preserve">tablishing a joint partnership comprised of key partners for Chorley and South Ribble. </w:t>
      </w:r>
    </w:p>
    <w:p w14:paraId="39BA220F" w14:textId="77777777" w:rsidR="00C055F8" w:rsidRPr="005179C5" w:rsidRDefault="00F24962" w:rsidP="00C055F8">
      <w:pPr>
        <w:spacing w:after="0" w:line="240" w:lineRule="auto"/>
        <w:ind w:left="360"/>
        <w:rPr>
          <w:rFonts w:cstheme="minorHAnsi"/>
          <w:bCs/>
          <w:iCs/>
        </w:rPr>
      </w:pPr>
    </w:p>
    <w:p w14:paraId="39BA2210" w14:textId="77777777" w:rsidR="00C055F8" w:rsidRDefault="00F24962" w:rsidP="00C055F8">
      <w:pPr>
        <w:numPr>
          <w:ilvl w:val="0"/>
          <w:numId w:val="8"/>
        </w:numPr>
        <w:spacing w:after="0" w:line="240" w:lineRule="auto"/>
        <w:rPr>
          <w:rFonts w:cstheme="minorHAnsi"/>
          <w:bCs/>
          <w:iCs/>
        </w:rPr>
      </w:pPr>
      <w:r w:rsidRPr="005179C5">
        <w:rPr>
          <w:rFonts w:cstheme="minorHAnsi"/>
          <w:bCs/>
          <w:iCs/>
        </w:rPr>
        <w:t>The programme of work and key projects ha</w:t>
      </w:r>
      <w:r>
        <w:rPr>
          <w:rFonts w:cstheme="minorHAnsi"/>
          <w:bCs/>
          <w:iCs/>
        </w:rPr>
        <w:t>ve</w:t>
      </w:r>
      <w:r w:rsidRPr="005179C5">
        <w:rPr>
          <w:rFonts w:cstheme="minorHAnsi"/>
          <w:bCs/>
          <w:iCs/>
        </w:rPr>
        <w:t xml:space="preserve"> been refreshed to drive existing work into new phases and to incorporate new activity to address future priorities, contrib</w:t>
      </w:r>
      <w:r w:rsidRPr="005179C5">
        <w:rPr>
          <w:rFonts w:cstheme="minorHAnsi"/>
          <w:bCs/>
          <w:iCs/>
        </w:rPr>
        <w:t xml:space="preserve">uting to the long-term strategic outcomes.  </w:t>
      </w:r>
    </w:p>
    <w:p w14:paraId="39BA2211" w14:textId="77777777" w:rsidR="00C055F8" w:rsidRPr="005179C5" w:rsidRDefault="00F24962" w:rsidP="00C055F8">
      <w:pPr>
        <w:spacing w:after="0" w:line="240" w:lineRule="auto"/>
        <w:ind w:left="360"/>
        <w:rPr>
          <w:rFonts w:cstheme="minorHAnsi"/>
          <w:bCs/>
          <w:iCs/>
        </w:rPr>
      </w:pPr>
    </w:p>
    <w:p w14:paraId="39BA2212" w14:textId="77777777" w:rsidR="00C055F8" w:rsidRPr="005179C5" w:rsidRDefault="00F24962" w:rsidP="00C055F8">
      <w:pPr>
        <w:numPr>
          <w:ilvl w:val="0"/>
          <w:numId w:val="8"/>
        </w:numPr>
        <w:spacing w:after="0" w:line="240" w:lineRule="auto"/>
        <w:rPr>
          <w:rFonts w:cstheme="minorHAnsi"/>
          <w:bCs/>
          <w:iCs/>
        </w:rPr>
      </w:pPr>
      <w:r w:rsidRPr="005179C5">
        <w:rPr>
          <w:rFonts w:cstheme="minorHAnsi"/>
          <w:bCs/>
          <w:iCs/>
        </w:rPr>
        <w:t>The performance indicators have also been reviewed and amended to ensure that they remain realistic yet ambitious</w:t>
      </w:r>
      <w:r>
        <w:rPr>
          <w:rFonts w:cstheme="minorHAnsi"/>
          <w:bCs/>
          <w:iCs/>
        </w:rPr>
        <w:t>.</w:t>
      </w:r>
    </w:p>
    <w:p w14:paraId="39BA2213" w14:textId="77777777" w:rsidR="00C055F8" w:rsidRPr="005179C5" w:rsidRDefault="00F24962" w:rsidP="00C055F8">
      <w:pPr>
        <w:spacing w:after="0" w:line="240" w:lineRule="auto"/>
        <w:ind w:left="360"/>
        <w:rPr>
          <w:rFonts w:cstheme="minorHAnsi"/>
          <w:bCs/>
          <w:iCs/>
        </w:rPr>
      </w:pPr>
    </w:p>
    <w:p w14:paraId="39BA2214" w14:textId="77777777" w:rsidR="00C055F8" w:rsidRPr="001B22ED" w:rsidRDefault="00F24962" w:rsidP="00C055F8">
      <w:pPr>
        <w:numPr>
          <w:ilvl w:val="0"/>
          <w:numId w:val="8"/>
        </w:numPr>
        <w:spacing w:after="0" w:line="240" w:lineRule="auto"/>
        <w:rPr>
          <w:rFonts w:cstheme="minorHAnsi"/>
          <w:bCs/>
          <w:iCs/>
        </w:rPr>
      </w:pPr>
      <w:r w:rsidRPr="005179C5">
        <w:rPr>
          <w:rFonts w:cstheme="minorHAnsi"/>
          <w:bCs/>
          <w:iCs/>
        </w:rPr>
        <w:t xml:space="preserve">Following approval of the updated Corporate Strategy for 2021, all council work should be aligned to ensure that resources and investment are targeted to key priorities. The resource requirements will be considered by full </w:t>
      </w:r>
      <w:r>
        <w:rPr>
          <w:rFonts w:cstheme="minorHAnsi"/>
          <w:bCs/>
          <w:iCs/>
        </w:rPr>
        <w:t>C</w:t>
      </w:r>
      <w:r w:rsidRPr="005179C5">
        <w:rPr>
          <w:rFonts w:cstheme="minorHAnsi"/>
          <w:bCs/>
          <w:iCs/>
        </w:rPr>
        <w:t>ouncil as part of the budget set</w:t>
      </w:r>
      <w:r w:rsidRPr="005179C5">
        <w:rPr>
          <w:rFonts w:cstheme="minorHAnsi"/>
          <w:bCs/>
          <w:iCs/>
        </w:rPr>
        <w:t>ting process.</w:t>
      </w:r>
    </w:p>
    <w:p w14:paraId="39BA2215" w14:textId="77777777" w:rsidR="00C055F8" w:rsidRPr="00D4431F" w:rsidRDefault="00F24962" w:rsidP="00C055F8">
      <w:pPr>
        <w:spacing w:after="0" w:line="240" w:lineRule="auto"/>
        <w:ind w:left="720"/>
        <w:jc w:val="both"/>
        <w:rPr>
          <w:rFonts w:cstheme="minorHAnsi"/>
          <w:bCs/>
        </w:rPr>
      </w:pPr>
    </w:p>
    <w:p w14:paraId="39BA2216" w14:textId="77777777" w:rsidR="00C055F8" w:rsidRPr="00ED4FF1" w:rsidRDefault="00F24962" w:rsidP="00C055F8">
      <w:pPr>
        <w:pStyle w:val="Heading2"/>
      </w:pPr>
      <w:r w:rsidRPr="00ED4FF1">
        <w:t>Corporate priorities</w:t>
      </w:r>
    </w:p>
    <w:p w14:paraId="39BA2217" w14:textId="77777777" w:rsidR="00C055F8" w:rsidRDefault="00F24962" w:rsidP="00C055F8">
      <w:pPr>
        <w:numPr>
          <w:ilvl w:val="0"/>
          <w:numId w:val="8"/>
        </w:numPr>
        <w:spacing w:after="0" w:line="240" w:lineRule="auto"/>
        <w:jc w:val="both"/>
        <w:rPr>
          <w:rFonts w:cstheme="minorHAnsi"/>
          <w:bCs/>
          <w:i/>
        </w:rPr>
      </w:pPr>
      <w:r w:rsidRPr="00D4431F">
        <w:rPr>
          <w:rFonts w:cstheme="minorHAnsi"/>
          <w:bCs/>
        </w:rPr>
        <w:t xml:space="preserve"> The report relates to the following corporate priorities:</w:t>
      </w:r>
      <w:r w:rsidRPr="00284E95">
        <w:rPr>
          <w:rFonts w:cstheme="minorHAnsi"/>
          <w:bCs/>
          <w:iCs/>
        </w:rPr>
        <w:t xml:space="preserve"> </w:t>
      </w:r>
    </w:p>
    <w:p w14:paraId="39BA2218" w14:textId="77777777" w:rsidR="00C055F8" w:rsidRPr="006149F1" w:rsidRDefault="00F24962" w:rsidP="00C055F8">
      <w:pPr>
        <w:spacing w:after="0" w:line="240" w:lineRule="auto"/>
        <w:ind w:left="360"/>
        <w:jc w:val="both"/>
        <w:rPr>
          <w:rFonts w:cstheme="minorHAnsi"/>
          <w:bCs/>
          <w:i/>
        </w:rPr>
      </w:pPr>
    </w:p>
    <w:tbl>
      <w:tblPr>
        <w:tblpPr w:leftFromText="181" w:rightFromText="181" w:vertAnchor="text" w:tblpY="1"/>
        <w:tblOverlap w:val="neve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8"/>
        <w:gridCol w:w="4678"/>
      </w:tblGrid>
      <w:tr w:rsidR="00E03946" w14:paraId="39BA221B" w14:textId="77777777" w:rsidTr="00C15153">
        <w:trPr>
          <w:trHeight w:val="506"/>
        </w:trPr>
        <w:tc>
          <w:tcPr>
            <w:tcW w:w="4848" w:type="dxa"/>
            <w:shd w:val="clear" w:color="auto" w:fill="auto"/>
            <w:vAlign w:val="center"/>
          </w:tcPr>
          <w:p w14:paraId="39BA2219" w14:textId="77777777" w:rsidR="00C055F8" w:rsidRPr="00AD1E77" w:rsidRDefault="00F24962" w:rsidP="00C15153">
            <w:pPr>
              <w:spacing w:after="0" w:line="240" w:lineRule="auto"/>
              <w:jc w:val="center"/>
              <w:rPr>
                <w:rFonts w:cstheme="minorHAnsi"/>
                <w:b/>
              </w:rPr>
            </w:pPr>
            <w:r w:rsidRPr="00AD1E77">
              <w:rPr>
                <w:rFonts w:cstheme="minorHAnsi"/>
                <w:b/>
              </w:rPr>
              <w:t>An exemplary council</w:t>
            </w:r>
          </w:p>
        </w:tc>
        <w:tc>
          <w:tcPr>
            <w:tcW w:w="4678" w:type="dxa"/>
            <w:vAlign w:val="center"/>
          </w:tcPr>
          <w:p w14:paraId="39BA221A" w14:textId="77777777" w:rsidR="00C055F8" w:rsidRPr="00AD1E77" w:rsidRDefault="00F24962" w:rsidP="00C15153">
            <w:pPr>
              <w:spacing w:after="0" w:line="240" w:lineRule="auto"/>
              <w:jc w:val="center"/>
              <w:rPr>
                <w:rFonts w:cstheme="minorHAnsi"/>
                <w:b/>
              </w:rPr>
            </w:pPr>
            <w:r w:rsidRPr="00AD1E77">
              <w:rPr>
                <w:rFonts w:cstheme="minorHAnsi"/>
                <w:b/>
              </w:rPr>
              <w:t>Thriving communities</w:t>
            </w:r>
          </w:p>
        </w:tc>
      </w:tr>
      <w:tr w:rsidR="00E03946" w14:paraId="39BA221E" w14:textId="77777777" w:rsidTr="00C15153">
        <w:trPr>
          <w:trHeight w:val="506"/>
        </w:trPr>
        <w:tc>
          <w:tcPr>
            <w:tcW w:w="4848" w:type="dxa"/>
            <w:shd w:val="clear" w:color="auto" w:fill="auto"/>
            <w:vAlign w:val="center"/>
          </w:tcPr>
          <w:p w14:paraId="39BA221C" w14:textId="77777777" w:rsidR="00C055F8" w:rsidRPr="00AD1E77" w:rsidRDefault="00F24962" w:rsidP="00C15153">
            <w:pPr>
              <w:spacing w:after="0" w:line="240" w:lineRule="auto"/>
              <w:jc w:val="center"/>
              <w:rPr>
                <w:rFonts w:cstheme="minorHAnsi"/>
                <w:b/>
              </w:rPr>
            </w:pPr>
            <w:r w:rsidRPr="00AD1E77">
              <w:rPr>
                <w:rFonts w:cstheme="minorHAnsi"/>
                <w:b/>
              </w:rPr>
              <w:t>A fair local economy that works for everyone</w:t>
            </w:r>
          </w:p>
        </w:tc>
        <w:tc>
          <w:tcPr>
            <w:tcW w:w="4678" w:type="dxa"/>
            <w:vAlign w:val="center"/>
          </w:tcPr>
          <w:p w14:paraId="39BA221D" w14:textId="77777777" w:rsidR="00C055F8" w:rsidRPr="00AD1E77" w:rsidRDefault="00F24962" w:rsidP="00C15153">
            <w:pPr>
              <w:spacing w:after="0" w:line="240" w:lineRule="auto"/>
              <w:jc w:val="center"/>
              <w:rPr>
                <w:rFonts w:cstheme="minorHAnsi"/>
                <w:b/>
              </w:rPr>
            </w:pPr>
            <w:r w:rsidRPr="00AD1E77">
              <w:rPr>
                <w:rFonts w:cstheme="minorHAnsi"/>
                <w:b/>
              </w:rPr>
              <w:t>Good homes, green spaces, healthy places</w:t>
            </w:r>
          </w:p>
        </w:tc>
      </w:tr>
    </w:tbl>
    <w:p w14:paraId="39BA221F" w14:textId="77777777" w:rsidR="00C055F8" w:rsidRPr="00D4431F" w:rsidRDefault="00F24962" w:rsidP="00C15153">
      <w:pPr>
        <w:spacing w:after="0" w:line="240" w:lineRule="auto"/>
        <w:jc w:val="both"/>
        <w:rPr>
          <w:rFonts w:cstheme="minorHAnsi"/>
          <w:bCs/>
        </w:rPr>
      </w:pPr>
    </w:p>
    <w:p w14:paraId="39BA2220" w14:textId="77777777" w:rsidR="00C055F8" w:rsidRPr="00ED4FF1" w:rsidRDefault="00F24962" w:rsidP="00C055F8">
      <w:pPr>
        <w:pStyle w:val="Heading2"/>
      </w:pPr>
      <w:r w:rsidRPr="00ED4FF1">
        <w:t xml:space="preserve">Background to the </w:t>
      </w:r>
      <w:r w:rsidRPr="00ED4FF1">
        <w:t>report</w:t>
      </w:r>
    </w:p>
    <w:p w14:paraId="39BA2221" w14:textId="77777777" w:rsidR="00C055F8" w:rsidRDefault="00F24962" w:rsidP="00C055F8">
      <w:pPr>
        <w:pStyle w:val="ListParagraph"/>
        <w:numPr>
          <w:ilvl w:val="0"/>
          <w:numId w:val="8"/>
        </w:numPr>
        <w:rPr>
          <w:rFonts w:cstheme="minorHAnsi"/>
          <w:bCs/>
          <w:i/>
        </w:rPr>
      </w:pPr>
      <w:r w:rsidRPr="00AD1E77">
        <w:rPr>
          <w:rFonts w:cstheme="minorHAnsi"/>
          <w:bCs/>
          <w:iCs/>
        </w:rPr>
        <w:t>The Corporate Strategy provides a clear statement of what the Council aims to achieve over the next three years. The strategy sets out the Council’s vision, priorities, and long-term outcomes for 202</w:t>
      </w:r>
      <w:r>
        <w:rPr>
          <w:rFonts w:cstheme="minorHAnsi"/>
          <w:bCs/>
          <w:iCs/>
        </w:rPr>
        <w:t>1</w:t>
      </w:r>
      <w:r w:rsidRPr="00AD1E77">
        <w:rPr>
          <w:rFonts w:cstheme="minorHAnsi"/>
          <w:bCs/>
          <w:iCs/>
        </w:rPr>
        <w:t>/2</w:t>
      </w:r>
      <w:r>
        <w:rPr>
          <w:rFonts w:cstheme="minorHAnsi"/>
          <w:bCs/>
          <w:iCs/>
        </w:rPr>
        <w:t>2</w:t>
      </w:r>
      <w:r w:rsidRPr="00AD1E77">
        <w:rPr>
          <w:rFonts w:cstheme="minorHAnsi"/>
          <w:bCs/>
          <w:iCs/>
        </w:rPr>
        <w:t xml:space="preserve"> – 202</w:t>
      </w:r>
      <w:r>
        <w:rPr>
          <w:rFonts w:cstheme="minorHAnsi"/>
          <w:bCs/>
          <w:iCs/>
        </w:rPr>
        <w:t>3</w:t>
      </w:r>
      <w:r w:rsidRPr="00AD1E77">
        <w:rPr>
          <w:rFonts w:cstheme="minorHAnsi"/>
          <w:bCs/>
          <w:iCs/>
        </w:rPr>
        <w:t>/2</w:t>
      </w:r>
      <w:r>
        <w:rPr>
          <w:rFonts w:cstheme="minorHAnsi"/>
          <w:bCs/>
          <w:iCs/>
        </w:rPr>
        <w:t>4 along with</w:t>
      </w:r>
      <w:r w:rsidRPr="00AD1E77">
        <w:rPr>
          <w:rFonts w:cstheme="minorHAnsi"/>
          <w:bCs/>
          <w:iCs/>
        </w:rPr>
        <w:t xml:space="preserve"> priority activity to be </w:t>
      </w:r>
      <w:r w:rsidRPr="00AD1E77">
        <w:rPr>
          <w:rFonts w:cstheme="minorHAnsi"/>
          <w:bCs/>
          <w:iCs/>
        </w:rPr>
        <w:t xml:space="preserve">delivered through the corporate projects and </w:t>
      </w:r>
      <w:r>
        <w:rPr>
          <w:rFonts w:cstheme="minorHAnsi"/>
          <w:bCs/>
          <w:iCs/>
        </w:rPr>
        <w:t xml:space="preserve">measures of success for </w:t>
      </w:r>
      <w:r w:rsidRPr="00AD1E77">
        <w:rPr>
          <w:rFonts w:cstheme="minorHAnsi"/>
          <w:bCs/>
          <w:iCs/>
        </w:rPr>
        <w:t xml:space="preserve">the year ahead. </w:t>
      </w:r>
    </w:p>
    <w:p w14:paraId="39BA2222" w14:textId="77777777" w:rsidR="00C055F8" w:rsidRDefault="00F24962" w:rsidP="00C055F8">
      <w:pPr>
        <w:pStyle w:val="Heading2"/>
      </w:pPr>
      <w:r>
        <w:t>Achievements in 2020/21</w:t>
      </w:r>
    </w:p>
    <w:p w14:paraId="39BA2223" w14:textId="77777777" w:rsidR="00C055F8" w:rsidRDefault="00F24962" w:rsidP="00C055F8">
      <w:pPr>
        <w:pStyle w:val="ListParagraph"/>
        <w:numPr>
          <w:ilvl w:val="0"/>
          <w:numId w:val="8"/>
        </w:numPr>
      </w:pPr>
      <w:r>
        <w:t>In the first year of the strategy progress has been excellent with several key achievements having been met.</w:t>
      </w:r>
    </w:p>
    <w:p w14:paraId="39BA2224" w14:textId="77777777" w:rsidR="00C055F8" w:rsidRDefault="00F24962" w:rsidP="00C055F8">
      <w:pPr>
        <w:pStyle w:val="ListParagraph"/>
        <w:ind w:left="360"/>
      </w:pPr>
    </w:p>
    <w:p w14:paraId="39BA2225" w14:textId="77777777" w:rsidR="00C055F8" w:rsidRPr="00225640" w:rsidRDefault="00F24962" w:rsidP="00C055F8">
      <w:pPr>
        <w:pStyle w:val="ListParagraph"/>
        <w:ind w:left="360"/>
        <w:rPr>
          <w:b/>
          <w:bCs/>
        </w:rPr>
      </w:pPr>
      <w:r w:rsidRPr="00225640">
        <w:rPr>
          <w:b/>
          <w:bCs/>
        </w:rPr>
        <w:t xml:space="preserve">Exemplary Council </w:t>
      </w:r>
    </w:p>
    <w:p w14:paraId="39BA2226" w14:textId="77777777" w:rsidR="00C055F8" w:rsidRDefault="00F24962" w:rsidP="00C055F8">
      <w:pPr>
        <w:pStyle w:val="ListParagraph"/>
        <w:numPr>
          <w:ilvl w:val="0"/>
          <w:numId w:val="8"/>
        </w:numPr>
      </w:pPr>
      <w:r>
        <w:t>The delivery of t</w:t>
      </w:r>
      <w:r>
        <w:t>he annual governance statement action plan has ensured an open and transparent Council through a range of actions including a review of the constitution, a new Performance Management Framework, robust approach to managing Key Partnerships and Member traini</w:t>
      </w:r>
      <w:r>
        <w:t xml:space="preserve">ng. Progress has also been achieved to support more sustainable and joined up public services, building on positive partnership working throughout the pandemic to develop new partnership models and structures.  Best </w:t>
      </w:r>
      <w:r>
        <w:lastRenderedPageBreak/>
        <w:t>practice has been gathered from the Sout</w:t>
      </w:r>
      <w:r>
        <w:t>h Ribble Partnership to inform a new joint partnership with Chorley Public Service Reform Partnership. A joint strategy has been developed with clear priorities to improve outcomes for residents by bringing public services together in a way that makes sens</w:t>
      </w:r>
      <w:r>
        <w:t>e, reducing duplication and making best use of collective resources.</w:t>
      </w:r>
    </w:p>
    <w:p w14:paraId="39BA2227" w14:textId="77777777" w:rsidR="00C055F8" w:rsidRDefault="00F24962" w:rsidP="00C055F8">
      <w:pPr>
        <w:pStyle w:val="ListParagraph"/>
        <w:ind w:left="360"/>
      </w:pPr>
    </w:p>
    <w:p w14:paraId="39BA2228" w14:textId="77777777" w:rsidR="00C055F8" w:rsidRPr="00C055F8" w:rsidRDefault="00F24962" w:rsidP="00C055F8">
      <w:pPr>
        <w:pStyle w:val="ListParagraph"/>
        <w:numPr>
          <w:ilvl w:val="0"/>
          <w:numId w:val="8"/>
        </w:numPr>
      </w:pPr>
      <w:r>
        <w:t xml:space="preserve">Further shared services have been developed, </w:t>
      </w:r>
      <w:r>
        <w:t>including the implementation of a single shared management structure across both authorities, completion of phase one shared services and progression of phase two to develop shared Customer Services and ICT.  Joint processes and policies have been put in p</w:t>
      </w:r>
      <w:r>
        <w:t>laces including a full review of the HR Policy Framework and Organisational Development programme. This will ensure that the Council can continue to deliver value for money, efficient and effective services to all residents with greater financial and opera</w:t>
      </w:r>
      <w:r>
        <w:t xml:space="preserve">tional resilience.  </w:t>
      </w:r>
    </w:p>
    <w:p w14:paraId="39BA2229" w14:textId="77777777" w:rsidR="00C055F8" w:rsidRPr="00BB74FC" w:rsidRDefault="00F24962" w:rsidP="00C055F8">
      <w:pPr>
        <w:pStyle w:val="ListParagraph"/>
        <w:rPr>
          <w:b/>
          <w:bCs/>
        </w:rPr>
      </w:pPr>
    </w:p>
    <w:p w14:paraId="39BA222A" w14:textId="77777777" w:rsidR="00C055F8" w:rsidRPr="00BB74FC" w:rsidRDefault="00F24962" w:rsidP="00C055F8">
      <w:pPr>
        <w:pStyle w:val="ListParagraph"/>
        <w:ind w:left="360"/>
        <w:rPr>
          <w:b/>
          <w:bCs/>
        </w:rPr>
      </w:pPr>
      <w:r w:rsidRPr="00BB74FC">
        <w:rPr>
          <w:b/>
          <w:bCs/>
        </w:rPr>
        <w:t xml:space="preserve">Thriving Communities </w:t>
      </w:r>
    </w:p>
    <w:p w14:paraId="39BA222B" w14:textId="77777777" w:rsidR="00C055F8" w:rsidRPr="001B22ED" w:rsidRDefault="00F24962" w:rsidP="00C055F8">
      <w:pPr>
        <w:pStyle w:val="ListParagraph"/>
        <w:numPr>
          <w:ilvl w:val="0"/>
          <w:numId w:val="8"/>
        </w:numPr>
      </w:pPr>
      <w:r w:rsidRPr="001B22ED">
        <w:t>Community Hubs have been developed across the five neighbourhood areas of the borough with several key achievements throughout the year.  The first tranche of the Boost Fund was delivered with over £20,000 awarde</w:t>
      </w:r>
      <w:r w:rsidRPr="001B22ED">
        <w:t xml:space="preserve">d to several projects including Farington Lodge, Gregson Lane </w:t>
      </w:r>
      <w:r>
        <w:t>c</w:t>
      </w:r>
      <w:r w:rsidRPr="001B22ED">
        <w:t xml:space="preserve">hanging rooms and mental health awareness. </w:t>
      </w:r>
    </w:p>
    <w:p w14:paraId="39BA222C" w14:textId="77777777" w:rsidR="00C055F8" w:rsidRDefault="00F24962" w:rsidP="00C055F8">
      <w:pPr>
        <w:pStyle w:val="ListParagraph"/>
        <w:ind w:left="360"/>
      </w:pPr>
    </w:p>
    <w:p w14:paraId="39BA222D" w14:textId="77777777" w:rsidR="00C055F8" w:rsidRDefault="00F24962" w:rsidP="00C055F8">
      <w:pPr>
        <w:pStyle w:val="ListParagraph"/>
        <w:numPr>
          <w:ilvl w:val="0"/>
          <w:numId w:val="8"/>
        </w:numPr>
      </w:pPr>
      <w:r>
        <w:t>Responding to the needs of residents and building on a commitment to ensure all families can access food and supplies, the council has brought toget</w:t>
      </w:r>
      <w:r>
        <w:t>her a number of food banks across South Ribble and formed a network that helps to coordinate efforts and resources across the borough. All food banks in the network are now food registered providers, supporting residents when they need it most with critica</w:t>
      </w:r>
      <w:r>
        <w:t>l supplies, assistance and advice.</w:t>
      </w:r>
    </w:p>
    <w:p w14:paraId="39BA222E" w14:textId="77777777" w:rsidR="00C055F8" w:rsidRDefault="00F24962" w:rsidP="00C055F8">
      <w:pPr>
        <w:pStyle w:val="ListParagraph"/>
        <w:ind w:left="360"/>
      </w:pPr>
    </w:p>
    <w:p w14:paraId="39BA222F" w14:textId="77777777" w:rsidR="00C055F8" w:rsidRDefault="00F24962" w:rsidP="00C055F8">
      <w:pPr>
        <w:pStyle w:val="ListParagraph"/>
        <w:numPr>
          <w:ilvl w:val="0"/>
          <w:numId w:val="8"/>
        </w:numPr>
      </w:pPr>
      <w:r>
        <w:t>A directory of mental health services for young people was developed and published onto the Council website, helping to raise awareness of the provision of mental health services both locally and nationally. Mental healt</w:t>
      </w:r>
      <w:r>
        <w:t xml:space="preserve">h first aid sessions have been delivered to </w:t>
      </w:r>
      <w:r w:rsidRPr="009B6F09">
        <w:t xml:space="preserve">43 </w:t>
      </w:r>
      <w:r>
        <w:t>officers who</w:t>
      </w:r>
      <w:r w:rsidRPr="009B6F09">
        <w:t xml:space="preserve"> are now Mental Health First Aiders</w:t>
      </w:r>
      <w:r>
        <w:t>.  This is part of the project to support young people’s mental health, developing essential knowledge and understanding that will be rolled out to wider partners</w:t>
      </w:r>
      <w:r>
        <w:t xml:space="preserve"> so that younger people can be better supported in the places they attend including work and recreational activities.</w:t>
      </w:r>
    </w:p>
    <w:p w14:paraId="39BA2230" w14:textId="77777777" w:rsidR="00C055F8" w:rsidRDefault="00F24962" w:rsidP="00C055F8">
      <w:pPr>
        <w:pStyle w:val="ListParagraph"/>
      </w:pPr>
    </w:p>
    <w:p w14:paraId="39BA2231" w14:textId="77777777" w:rsidR="00C055F8" w:rsidRPr="00A808B9" w:rsidRDefault="00F24962" w:rsidP="00C055F8">
      <w:pPr>
        <w:pStyle w:val="ListParagraph"/>
        <w:ind w:left="360"/>
        <w:rPr>
          <w:b/>
          <w:bCs/>
        </w:rPr>
      </w:pPr>
      <w:bookmarkStart w:id="2" w:name="_Hlk86060884"/>
      <w:r w:rsidRPr="00A808B9">
        <w:rPr>
          <w:b/>
          <w:bCs/>
        </w:rPr>
        <w:t>A fair local economy that works for everyone</w:t>
      </w:r>
    </w:p>
    <w:bookmarkEnd w:id="2"/>
    <w:p w14:paraId="39BA2232" w14:textId="77777777" w:rsidR="00C055F8" w:rsidRPr="00E447EA" w:rsidRDefault="00F24962" w:rsidP="00C055F8">
      <w:pPr>
        <w:pStyle w:val="ListParagraph"/>
        <w:numPr>
          <w:ilvl w:val="0"/>
          <w:numId w:val="8"/>
        </w:numPr>
      </w:pPr>
      <w:r>
        <w:t xml:space="preserve">Providing support for businesses has been a top priority to mitigate the impact of the </w:t>
      </w:r>
      <w:r>
        <w:t>pandemic and ensure a strong recovery.</w:t>
      </w:r>
      <w:r w:rsidRPr="00E447EA">
        <w:t xml:space="preserve"> The council</w:t>
      </w:r>
      <w:r>
        <w:t xml:space="preserve"> </w:t>
      </w:r>
      <w:r w:rsidRPr="00E447EA">
        <w:t xml:space="preserve">processed 7,053 </w:t>
      </w:r>
      <w:r>
        <w:t>financial grants to businesses</w:t>
      </w:r>
      <w:r w:rsidRPr="00E447EA">
        <w:t>, totalling £34.9 million as part of</w:t>
      </w:r>
      <w:r>
        <w:t xml:space="preserve"> a</w:t>
      </w:r>
      <w:r w:rsidRPr="00E447EA">
        <w:t xml:space="preserve"> programme of support. In addition to the grants the council supported businesses with access to other available support </w:t>
      </w:r>
      <w:r w:rsidRPr="00E447EA">
        <w:t xml:space="preserve">services such as the Job </w:t>
      </w:r>
      <w:r>
        <w:t>R</w:t>
      </w:r>
      <w:r w:rsidRPr="00E447EA">
        <w:t>etention Scheme, BOOST and Lancashire’s Business Growth Hub</w:t>
      </w:r>
      <w:r>
        <w:t xml:space="preserve">.  </w:t>
      </w:r>
    </w:p>
    <w:p w14:paraId="39BA2233" w14:textId="77777777" w:rsidR="00C055F8" w:rsidRDefault="00F24962" w:rsidP="00C055F8">
      <w:pPr>
        <w:pStyle w:val="ListParagraph"/>
        <w:ind w:left="360"/>
      </w:pPr>
    </w:p>
    <w:p w14:paraId="39BA2234" w14:textId="77777777" w:rsidR="00C055F8" w:rsidRDefault="00F24962" w:rsidP="00C055F8">
      <w:pPr>
        <w:pStyle w:val="ListParagraph"/>
        <w:numPr>
          <w:ilvl w:val="0"/>
          <w:numId w:val="8"/>
        </w:numPr>
      </w:pPr>
      <w:r>
        <w:t>The borough is set to receive significant funding for improvements to Leyland Town Centre as part of the Town Deal Fund.  The successful bid to the Town Deal fund has</w:t>
      </w:r>
      <w:r>
        <w:t xml:space="preserve"> seen an offer of up to £25 million to regenerate and revitalise Leyland Town Centre.  A Town Fund board has been brought together and plans for the development of the town centre including as business advice and skills hub has progressed with this project</w:t>
      </w:r>
      <w:r>
        <w:t xml:space="preserve"> set to continue over the coming year. </w:t>
      </w:r>
    </w:p>
    <w:p w14:paraId="39BA2235" w14:textId="77777777" w:rsidR="00C055F8" w:rsidRDefault="00F24962" w:rsidP="00C055F8">
      <w:pPr>
        <w:pStyle w:val="ListParagraph"/>
        <w:ind w:left="360"/>
      </w:pPr>
    </w:p>
    <w:p w14:paraId="39BA2236" w14:textId="77777777" w:rsidR="00C055F8" w:rsidRDefault="00F24962" w:rsidP="00C055F8">
      <w:pPr>
        <w:pStyle w:val="ListParagraph"/>
        <w:numPr>
          <w:ilvl w:val="0"/>
          <w:numId w:val="8"/>
        </w:numPr>
      </w:pPr>
      <w:r>
        <w:t>The community wealth building programme has also made great progress with several achievements, which include:</w:t>
      </w:r>
    </w:p>
    <w:p w14:paraId="39BA2237" w14:textId="77777777" w:rsidR="00C055F8" w:rsidRDefault="00F24962" w:rsidP="00C055F8">
      <w:pPr>
        <w:pStyle w:val="ListParagraph"/>
        <w:numPr>
          <w:ilvl w:val="0"/>
          <w:numId w:val="14"/>
        </w:numPr>
      </w:pPr>
      <w:r>
        <w:lastRenderedPageBreak/>
        <w:t>The opening of a credit union branch in Leyland in June 2021.  This includes a three-year plan to grow a</w:t>
      </w:r>
      <w:r>
        <w:t>nd expand into the community, opening access to financial services for those who may find it difficult to access high street banking,</w:t>
      </w:r>
    </w:p>
    <w:p w14:paraId="39BA2238" w14:textId="77777777" w:rsidR="00C055F8" w:rsidRDefault="00F24962" w:rsidP="00C055F8">
      <w:pPr>
        <w:pStyle w:val="ListParagraph"/>
        <w:numPr>
          <w:ilvl w:val="0"/>
          <w:numId w:val="14"/>
        </w:numPr>
      </w:pPr>
      <w:r>
        <w:t xml:space="preserve">The </w:t>
      </w:r>
      <w:r w:rsidRPr="005F6224">
        <w:t xml:space="preserve">Council formally </w:t>
      </w:r>
      <w:r>
        <w:t>achieved</w:t>
      </w:r>
      <w:r w:rsidRPr="005F6224">
        <w:t xml:space="preserve"> Living Wage Accreditation</w:t>
      </w:r>
      <w:r>
        <w:t>, recognising that the Council as an</w:t>
      </w:r>
      <w:r w:rsidRPr="005F6224">
        <w:t xml:space="preserve"> employer </w:t>
      </w:r>
      <w:r>
        <w:t>chooses</w:t>
      </w:r>
      <w:r w:rsidRPr="005F6224">
        <w:t xml:space="preserve"> to pay staff </w:t>
      </w:r>
      <w:r w:rsidRPr="005F6224">
        <w:t>above the government</w:t>
      </w:r>
      <w:r>
        <w:t>’</w:t>
      </w:r>
      <w:r w:rsidRPr="005F6224">
        <w:t>s minimum wage</w:t>
      </w:r>
      <w:r>
        <w:t>,</w:t>
      </w:r>
    </w:p>
    <w:p w14:paraId="39BA2239" w14:textId="77777777" w:rsidR="00C055F8" w:rsidRDefault="00F24962" w:rsidP="00C055F8">
      <w:pPr>
        <w:pStyle w:val="ListParagraph"/>
        <w:numPr>
          <w:ilvl w:val="0"/>
          <w:numId w:val="14"/>
        </w:numPr>
      </w:pPr>
      <w:r w:rsidRPr="005F6224">
        <w:t xml:space="preserve">Social Value Portal (SVP) </w:t>
      </w:r>
      <w:r>
        <w:t>has launched with the first tender issued in September 2021 as part of the social value policy</w:t>
      </w:r>
      <w:r w:rsidRPr="005F6224">
        <w:t>.</w:t>
      </w:r>
    </w:p>
    <w:p w14:paraId="39BA223A" w14:textId="77777777" w:rsidR="00C055F8" w:rsidRDefault="00F24962" w:rsidP="00C055F8">
      <w:pPr>
        <w:pStyle w:val="ListParagraph"/>
        <w:ind w:left="360"/>
        <w:rPr>
          <w:b/>
          <w:bCs/>
        </w:rPr>
      </w:pPr>
    </w:p>
    <w:p w14:paraId="39BA223B" w14:textId="77777777" w:rsidR="00C055F8" w:rsidRDefault="00F24962" w:rsidP="00C055F8">
      <w:pPr>
        <w:pStyle w:val="ListParagraph"/>
        <w:ind w:left="360"/>
        <w:rPr>
          <w:b/>
          <w:bCs/>
        </w:rPr>
      </w:pPr>
      <w:r>
        <w:rPr>
          <w:b/>
          <w:bCs/>
        </w:rPr>
        <w:t>Good homes, green spaces and healthy places</w:t>
      </w:r>
    </w:p>
    <w:p w14:paraId="39BA223C" w14:textId="77777777" w:rsidR="00C055F8" w:rsidRDefault="00F24962" w:rsidP="00C055F8">
      <w:pPr>
        <w:pStyle w:val="ListParagraph"/>
        <w:numPr>
          <w:ilvl w:val="0"/>
          <w:numId w:val="8"/>
        </w:numPr>
      </w:pPr>
      <w:r>
        <w:t>Raising awareness to help tackle climate change, the</w:t>
      </w:r>
      <w:r>
        <w:t xml:space="preserve"> Council hosted a virtual event for ‘World Environment Day’. The Facebook event reached 1,688 people and videos of the event content were shared on the Council’s Facebook main page reaching a total of 11,500 people. The event shared useful information on t</w:t>
      </w:r>
      <w:r>
        <w:t>he changes individuals can make to help tackle climate change as well as activity that is happening across the borough through the council and other groups in the community.  By March 2021, the ‘Reduce, Reuse, Recycle’ campaign, resulted in a significant r</w:t>
      </w:r>
      <w:r>
        <w:t xml:space="preserve">eduction of 75% in contaminated bins. </w:t>
      </w:r>
    </w:p>
    <w:p w14:paraId="39BA223D" w14:textId="77777777" w:rsidR="00C055F8" w:rsidRDefault="00F24962" w:rsidP="00C055F8">
      <w:pPr>
        <w:pStyle w:val="ListParagraph"/>
        <w:ind w:left="360"/>
      </w:pPr>
    </w:p>
    <w:p w14:paraId="39BA223E" w14:textId="77777777" w:rsidR="00C055F8" w:rsidRDefault="00F24962" w:rsidP="00C055F8">
      <w:pPr>
        <w:pStyle w:val="ListParagraph"/>
        <w:numPr>
          <w:ilvl w:val="0"/>
          <w:numId w:val="8"/>
        </w:numPr>
      </w:pPr>
      <w:r>
        <w:t>As part of the Council’s own contribution to reducing its carbon footprint a new cycle storage facility was installed at Moss Side depot to encourage staff to use more environmentally friendly means of travel. Instal</w:t>
      </w:r>
      <w:r>
        <w:t xml:space="preserve">lation of solar panels to reduce its use of carbon and fossil fuel based energy. </w:t>
      </w:r>
    </w:p>
    <w:p w14:paraId="39BA223F" w14:textId="77777777" w:rsidR="00C055F8" w:rsidRDefault="00F24962" w:rsidP="00C055F8">
      <w:pPr>
        <w:pStyle w:val="ListParagraph"/>
        <w:ind w:left="360"/>
      </w:pPr>
    </w:p>
    <w:p w14:paraId="39BA2240" w14:textId="77777777" w:rsidR="00C055F8" w:rsidRDefault="00F24962" w:rsidP="00C055F8">
      <w:pPr>
        <w:pStyle w:val="ListParagraph"/>
        <w:numPr>
          <w:ilvl w:val="0"/>
          <w:numId w:val="8"/>
        </w:numPr>
      </w:pPr>
      <w:r>
        <w:t xml:space="preserve">The Council completed its first development of affordable homes, with nine affordable apartments delivered through the Tom Hanson House project. The completion of the first </w:t>
      </w:r>
      <w:r>
        <w:t>scheme provides a strong foundation for the Council moving forward to deliver a further</w:t>
      </w:r>
      <w:r w:rsidRPr="00B9004F">
        <w:t xml:space="preserve"> 15 new quality affordable homes in Bamber Bridge</w:t>
      </w:r>
      <w:r>
        <w:t xml:space="preserve"> and to continue with consultation on delivering an </w:t>
      </w:r>
      <w:r w:rsidRPr="00B9004F">
        <w:t>Extra Care scheme</w:t>
      </w:r>
      <w:r>
        <w:t xml:space="preserve">, progressing to the second stage of its design. </w:t>
      </w:r>
    </w:p>
    <w:p w14:paraId="39BA2241" w14:textId="77777777" w:rsidR="00C055F8" w:rsidRDefault="00F24962" w:rsidP="00C055F8">
      <w:pPr>
        <w:pStyle w:val="ListParagraph"/>
        <w:ind w:left="360"/>
        <w:rPr>
          <w:b/>
          <w:bCs/>
        </w:rPr>
      </w:pPr>
    </w:p>
    <w:p w14:paraId="39BA2242" w14:textId="77777777" w:rsidR="00C055F8" w:rsidRDefault="00F24962" w:rsidP="00C055F8">
      <w:pPr>
        <w:pStyle w:val="ListParagraph"/>
        <w:ind w:left="360"/>
        <w:rPr>
          <w:b/>
          <w:bCs/>
        </w:rPr>
      </w:pPr>
      <w:r>
        <w:rPr>
          <w:b/>
          <w:bCs/>
        </w:rPr>
        <w:t>Project delivery 2020/2021</w:t>
      </w:r>
    </w:p>
    <w:p w14:paraId="39BA2243" w14:textId="77777777" w:rsidR="005B15E3" w:rsidRPr="00C15153" w:rsidRDefault="00F24962" w:rsidP="00C055F8">
      <w:pPr>
        <w:pStyle w:val="ListParagraph"/>
        <w:numPr>
          <w:ilvl w:val="0"/>
          <w:numId w:val="8"/>
        </w:numPr>
        <w:spacing w:after="0" w:line="240" w:lineRule="auto"/>
        <w:jc w:val="both"/>
        <w:rPr>
          <w:rFonts w:ascii="Arial" w:eastAsia="Times New Roman" w:hAnsi="Arial" w:cs="Times New Roman"/>
          <w:b/>
          <w:bCs/>
          <w:szCs w:val="20"/>
        </w:rPr>
      </w:pPr>
      <w:r w:rsidRPr="00C15153">
        <w:rPr>
          <w:rFonts w:ascii="Arial" w:eastAsia="Times New Roman" w:hAnsi="Arial" w:cs="Times New Roman"/>
          <w:szCs w:val="20"/>
        </w:rPr>
        <w:t>As well as delivering major schemes, the 2020/21 Corporate Strategy included a number of projects that focused on progressing priorities over multiple years. A summary of the existing projects, their status and whether they are c</w:t>
      </w:r>
      <w:r w:rsidRPr="00C15153">
        <w:rPr>
          <w:rFonts w:ascii="Arial" w:eastAsia="Times New Roman" w:hAnsi="Arial" w:cs="Times New Roman"/>
          <w:szCs w:val="20"/>
        </w:rPr>
        <w:t xml:space="preserve">arried forward or due to be completed is included at Appendix A. </w:t>
      </w:r>
    </w:p>
    <w:p w14:paraId="39BA2244" w14:textId="77777777" w:rsidR="00C15153" w:rsidRPr="00C15153" w:rsidRDefault="00F24962" w:rsidP="00C15153">
      <w:pPr>
        <w:pStyle w:val="ListParagraph"/>
        <w:spacing w:after="0" w:line="240" w:lineRule="auto"/>
        <w:ind w:left="360"/>
        <w:jc w:val="both"/>
        <w:rPr>
          <w:rFonts w:ascii="Arial" w:eastAsia="Times New Roman" w:hAnsi="Arial" w:cs="Times New Roman"/>
          <w:b/>
          <w:bCs/>
          <w:szCs w:val="20"/>
        </w:rPr>
      </w:pPr>
    </w:p>
    <w:p w14:paraId="39BA2245" w14:textId="77777777" w:rsidR="00C055F8" w:rsidRPr="00206511" w:rsidRDefault="00F24962" w:rsidP="00C055F8">
      <w:pPr>
        <w:pStyle w:val="ListParagraph"/>
        <w:ind w:left="360"/>
        <w:rPr>
          <w:rFonts w:ascii="Arial" w:eastAsia="Times New Roman" w:hAnsi="Arial" w:cs="Times New Roman"/>
          <w:b/>
          <w:bCs/>
          <w:szCs w:val="20"/>
        </w:rPr>
      </w:pPr>
      <w:r w:rsidRPr="00206511">
        <w:rPr>
          <w:rFonts w:ascii="Arial" w:eastAsia="Times New Roman" w:hAnsi="Arial" w:cs="Times New Roman"/>
          <w:b/>
          <w:bCs/>
          <w:szCs w:val="20"/>
        </w:rPr>
        <w:t>Performance</w:t>
      </w:r>
    </w:p>
    <w:p w14:paraId="39BA2246" w14:textId="77777777" w:rsidR="00C055F8" w:rsidRPr="00770503" w:rsidRDefault="00F24962" w:rsidP="00C055F8">
      <w:pPr>
        <w:pStyle w:val="ListParagraph"/>
        <w:numPr>
          <w:ilvl w:val="0"/>
          <w:numId w:val="8"/>
        </w:numPr>
        <w:rPr>
          <w:rFonts w:ascii="Arial" w:eastAsia="Times New Roman" w:hAnsi="Arial" w:cs="Times New Roman"/>
          <w:color w:val="000000"/>
          <w:szCs w:val="20"/>
        </w:rPr>
      </w:pPr>
      <w:r w:rsidRPr="00D4746A">
        <w:rPr>
          <w:rFonts w:ascii="Arial" w:eastAsia="Times New Roman" w:hAnsi="Arial" w:cs="Times New Roman"/>
          <w:szCs w:val="20"/>
        </w:rPr>
        <w:t xml:space="preserve">The 2020/21 strategy included 24 key measures to make it possible to monitor progress towards achieving the priorities and long-term outcomes. </w:t>
      </w:r>
      <w:r>
        <w:rPr>
          <w:rFonts w:ascii="Arial" w:eastAsia="Times New Roman" w:hAnsi="Arial" w:cs="Times New Roman"/>
          <w:szCs w:val="20"/>
        </w:rPr>
        <w:t xml:space="preserve">These have been reported throughout the year in quarterly monitoring reports that have been presented to Cabinet </w:t>
      </w:r>
      <w:r>
        <w:rPr>
          <w:rFonts w:ascii="Arial" w:eastAsia="Times New Roman" w:hAnsi="Arial" w:cs="Times New Roman"/>
          <w:szCs w:val="20"/>
        </w:rPr>
        <w:t xml:space="preserve">and Overview and Scrutiny. </w:t>
      </w:r>
    </w:p>
    <w:p w14:paraId="39BA2247" w14:textId="77777777" w:rsidR="00C055F8" w:rsidRPr="00B44183" w:rsidRDefault="00F24962" w:rsidP="005B15E3">
      <w:pPr>
        <w:pStyle w:val="Heading2"/>
      </w:pPr>
      <w:r>
        <w:t>Development of the Corporate Strategy 2021/2022</w:t>
      </w:r>
    </w:p>
    <w:p w14:paraId="39BA2248" w14:textId="77777777" w:rsidR="00C055F8" w:rsidRDefault="00F24962" w:rsidP="00C15153">
      <w:pPr>
        <w:pStyle w:val="ListParagraph"/>
        <w:numPr>
          <w:ilvl w:val="0"/>
          <w:numId w:val="8"/>
        </w:numPr>
        <w:spacing w:line="276" w:lineRule="auto"/>
        <w:rPr>
          <w:rFonts w:cstheme="minorHAnsi"/>
          <w:bCs/>
          <w:iCs/>
        </w:rPr>
      </w:pPr>
      <w:r w:rsidRPr="005179C5">
        <w:rPr>
          <w:rFonts w:cstheme="minorHAnsi"/>
          <w:bCs/>
          <w:iCs/>
        </w:rPr>
        <w:t xml:space="preserve">Fifteen priority projects have been identified for delivery over the next 12-18 months as part of the Corporate Strategy including work to support thriving communities through the </w:t>
      </w:r>
      <w:r w:rsidRPr="005179C5">
        <w:rPr>
          <w:rFonts w:cstheme="minorHAnsi"/>
          <w:bCs/>
          <w:iCs/>
        </w:rPr>
        <w:t>enhancement of community hubs and a programme of events and attractions to provide things to do and places to go. The Worden Hall complex will be completed as a flagship venue, more affordable housing will be developed, and the leisure centres will be revi</w:t>
      </w:r>
      <w:r w:rsidRPr="005179C5">
        <w:rPr>
          <w:rFonts w:cstheme="minorHAnsi"/>
          <w:bCs/>
          <w:iCs/>
        </w:rPr>
        <w:t xml:space="preserve">talised through an extensive programme of improvement to ensure good homes, green spaces and healthy places. </w:t>
      </w:r>
    </w:p>
    <w:p w14:paraId="39BA2249" w14:textId="77777777" w:rsidR="00C055F8" w:rsidRPr="005179C5" w:rsidRDefault="00F24962" w:rsidP="00C055F8">
      <w:pPr>
        <w:pStyle w:val="ListParagraph"/>
        <w:ind w:left="360"/>
        <w:rPr>
          <w:rFonts w:cstheme="minorHAnsi"/>
          <w:bCs/>
          <w:iCs/>
        </w:rPr>
      </w:pPr>
    </w:p>
    <w:p w14:paraId="39BA224A" w14:textId="77777777" w:rsidR="00C055F8" w:rsidRDefault="00F24962" w:rsidP="00C055F8">
      <w:pPr>
        <w:pStyle w:val="ListParagraph"/>
        <w:numPr>
          <w:ilvl w:val="0"/>
          <w:numId w:val="8"/>
        </w:numPr>
        <w:rPr>
          <w:rFonts w:cstheme="minorHAnsi"/>
          <w:bCs/>
          <w:iCs/>
        </w:rPr>
      </w:pPr>
      <w:r w:rsidRPr="005179C5">
        <w:rPr>
          <w:rFonts w:cstheme="minorHAnsi"/>
          <w:bCs/>
          <w:iCs/>
        </w:rPr>
        <w:lastRenderedPageBreak/>
        <w:t>Across the borough</w:t>
      </w:r>
      <w:r>
        <w:rPr>
          <w:rFonts w:cstheme="minorHAnsi"/>
          <w:bCs/>
          <w:iCs/>
        </w:rPr>
        <w:t>,</w:t>
      </w:r>
      <w:r w:rsidRPr="005179C5">
        <w:rPr>
          <w:rFonts w:cstheme="minorHAnsi"/>
          <w:bCs/>
          <w:iCs/>
        </w:rPr>
        <w:t xml:space="preserve"> </w:t>
      </w:r>
      <w:r>
        <w:rPr>
          <w:rFonts w:cstheme="minorHAnsi"/>
          <w:bCs/>
          <w:iCs/>
        </w:rPr>
        <w:t>the council</w:t>
      </w:r>
      <w:r w:rsidRPr="005179C5">
        <w:rPr>
          <w:rFonts w:cstheme="minorHAnsi"/>
          <w:bCs/>
          <w:iCs/>
        </w:rPr>
        <w:t xml:space="preserve"> will support residents and businesses with advice and support so that they can get back on their feet following t</w:t>
      </w:r>
      <w:r w:rsidRPr="005179C5">
        <w:rPr>
          <w:rFonts w:cstheme="minorHAnsi"/>
          <w:bCs/>
          <w:iCs/>
        </w:rPr>
        <w:t xml:space="preserve">he pandemic driving forward the principles of cooperation and community wealth building.  We will also drive forward plans to transform the town and village centres to promote a strong and inclusive economy. The </w:t>
      </w:r>
      <w:r>
        <w:rPr>
          <w:rFonts w:cstheme="minorHAnsi"/>
          <w:bCs/>
          <w:iCs/>
        </w:rPr>
        <w:t>C</w:t>
      </w:r>
      <w:r w:rsidRPr="005179C5">
        <w:rPr>
          <w:rFonts w:cstheme="minorHAnsi"/>
          <w:bCs/>
          <w:iCs/>
        </w:rPr>
        <w:t>ouncil will continue its improvement journe</w:t>
      </w:r>
      <w:r w:rsidRPr="005179C5">
        <w:rPr>
          <w:rFonts w:cstheme="minorHAnsi"/>
          <w:bCs/>
          <w:iCs/>
        </w:rPr>
        <w:t>y by delivering the recommendations of the peer challenge and develop more effective working practices in response to the changing environment, continuing to support our staff development.  We will also work more closely with partners to ensure that servic</w:t>
      </w:r>
      <w:r w:rsidRPr="005179C5">
        <w:rPr>
          <w:rFonts w:cstheme="minorHAnsi"/>
          <w:bCs/>
          <w:iCs/>
        </w:rPr>
        <w:t xml:space="preserve">es make sense for residents and customers.   </w:t>
      </w:r>
    </w:p>
    <w:p w14:paraId="39BA224B" w14:textId="77777777" w:rsidR="00C055F8" w:rsidRPr="005179C5" w:rsidRDefault="00F24962" w:rsidP="00C055F8">
      <w:pPr>
        <w:pStyle w:val="ListParagraph"/>
        <w:ind w:left="360"/>
        <w:rPr>
          <w:rFonts w:cstheme="minorHAnsi"/>
          <w:bCs/>
          <w:iCs/>
        </w:rPr>
      </w:pPr>
    </w:p>
    <w:p w14:paraId="39BA224C" w14:textId="77777777" w:rsidR="00C055F8" w:rsidRDefault="00F24962" w:rsidP="00C055F8">
      <w:pPr>
        <w:pStyle w:val="ListParagraph"/>
        <w:numPr>
          <w:ilvl w:val="0"/>
          <w:numId w:val="8"/>
        </w:numPr>
        <w:rPr>
          <w:rFonts w:cstheme="minorHAnsi"/>
          <w:bCs/>
          <w:iCs/>
        </w:rPr>
      </w:pPr>
      <w:r w:rsidRPr="005179C5">
        <w:rPr>
          <w:rFonts w:cstheme="minorHAnsi"/>
          <w:bCs/>
          <w:iCs/>
        </w:rPr>
        <w:t>Addressing climate change is a major priority cutting across all of our projects, but we will also undertake specific work to improve our own assets and proactively encourage positive action across the borough</w:t>
      </w:r>
      <w:r w:rsidRPr="005179C5">
        <w:rPr>
          <w:rFonts w:cstheme="minorHAnsi"/>
          <w:bCs/>
          <w:iCs/>
        </w:rPr>
        <w:t xml:space="preserve"> by providing infrastructure and incentives.</w:t>
      </w:r>
    </w:p>
    <w:p w14:paraId="39BA224D" w14:textId="77777777" w:rsidR="00C055F8" w:rsidRPr="005179C5" w:rsidRDefault="00F24962" w:rsidP="00C055F8">
      <w:pPr>
        <w:pStyle w:val="ListParagraph"/>
        <w:ind w:left="360"/>
        <w:rPr>
          <w:rFonts w:cstheme="minorHAnsi"/>
          <w:bCs/>
          <w:iCs/>
        </w:rPr>
      </w:pPr>
    </w:p>
    <w:p w14:paraId="39BA224E" w14:textId="77777777" w:rsidR="00C055F8" w:rsidRDefault="00F24962" w:rsidP="00C055F8">
      <w:pPr>
        <w:pStyle w:val="ListParagraph"/>
        <w:numPr>
          <w:ilvl w:val="0"/>
          <w:numId w:val="8"/>
        </w:numPr>
        <w:rPr>
          <w:rFonts w:cstheme="minorHAnsi"/>
          <w:bCs/>
          <w:iCs/>
        </w:rPr>
      </w:pPr>
      <w:r w:rsidRPr="005179C5">
        <w:rPr>
          <w:rFonts w:cstheme="minorHAnsi"/>
          <w:bCs/>
          <w:iCs/>
        </w:rPr>
        <w:t xml:space="preserve">The proposed key projects and an overview of what they will deliver is shown below:  </w:t>
      </w:r>
    </w:p>
    <w:p w14:paraId="39BA224F" w14:textId="77777777" w:rsidR="00C055F8" w:rsidRDefault="00F24962" w:rsidP="00C055F8">
      <w:pPr>
        <w:pStyle w:val="ListParagraph"/>
        <w:ind w:left="360"/>
        <w:rPr>
          <w:rFonts w:cstheme="minorHAnsi"/>
          <w:bCs/>
          <w:iCs/>
        </w:rPr>
      </w:pPr>
    </w:p>
    <w:tbl>
      <w:tblPr>
        <w:tblStyle w:val="TableGrid"/>
        <w:tblW w:w="9447" w:type="dxa"/>
        <w:tblInd w:w="421" w:type="dxa"/>
        <w:tblLook w:val="04A0" w:firstRow="1" w:lastRow="0" w:firstColumn="1" w:lastColumn="0" w:noHBand="0" w:noVBand="1"/>
      </w:tblPr>
      <w:tblGrid>
        <w:gridCol w:w="3828"/>
        <w:gridCol w:w="5619"/>
      </w:tblGrid>
      <w:tr w:rsidR="00E03946" w14:paraId="39BA2252" w14:textId="77777777" w:rsidTr="00C055F8">
        <w:trPr>
          <w:trHeight w:val="338"/>
          <w:tblHeader/>
        </w:trPr>
        <w:tc>
          <w:tcPr>
            <w:tcW w:w="3828" w:type="dxa"/>
            <w:shd w:val="clear" w:color="auto" w:fill="7F7F7F" w:themeFill="text1" w:themeFillTint="80"/>
            <w:vAlign w:val="center"/>
          </w:tcPr>
          <w:p w14:paraId="39BA2250" w14:textId="77777777" w:rsidR="00C055F8" w:rsidRPr="00770503" w:rsidRDefault="00F24962" w:rsidP="00C055F8">
            <w:pPr>
              <w:rPr>
                <w:rFonts w:cs="Arial"/>
                <w:b/>
                <w:bCs/>
                <w:color w:val="FFFFFF" w:themeColor="background1"/>
              </w:rPr>
            </w:pPr>
            <w:r w:rsidRPr="00770503">
              <w:rPr>
                <w:rFonts w:cs="Arial"/>
                <w:b/>
                <w:bCs/>
                <w:color w:val="FFFFFF" w:themeColor="background1"/>
              </w:rPr>
              <w:t>Project</w:t>
            </w:r>
          </w:p>
        </w:tc>
        <w:tc>
          <w:tcPr>
            <w:tcW w:w="5619" w:type="dxa"/>
            <w:shd w:val="clear" w:color="auto" w:fill="7F7F7F" w:themeFill="text1" w:themeFillTint="80"/>
            <w:vAlign w:val="center"/>
          </w:tcPr>
          <w:p w14:paraId="39BA2251" w14:textId="77777777" w:rsidR="00C055F8" w:rsidRPr="00770503" w:rsidRDefault="00F24962" w:rsidP="00C055F8">
            <w:pPr>
              <w:rPr>
                <w:rFonts w:cs="Arial"/>
                <w:b/>
                <w:bCs/>
                <w:color w:val="FFFFFF" w:themeColor="background1"/>
              </w:rPr>
            </w:pPr>
            <w:r w:rsidRPr="00770503">
              <w:rPr>
                <w:rFonts w:cs="Arial"/>
                <w:b/>
                <w:bCs/>
                <w:color w:val="FFFFFF" w:themeColor="background1"/>
              </w:rPr>
              <w:t>Description</w:t>
            </w:r>
          </w:p>
        </w:tc>
      </w:tr>
      <w:tr w:rsidR="00E03946" w14:paraId="39BA2255" w14:textId="77777777" w:rsidTr="00C055F8">
        <w:tc>
          <w:tcPr>
            <w:tcW w:w="3828" w:type="dxa"/>
            <w:shd w:val="clear" w:color="auto" w:fill="0070C0"/>
            <w:vAlign w:val="center"/>
          </w:tcPr>
          <w:p w14:paraId="39BA2253" w14:textId="77777777" w:rsidR="00C055F8" w:rsidRPr="00DA08BC" w:rsidRDefault="00F24962" w:rsidP="00C055F8">
            <w:pPr>
              <w:rPr>
                <w:rFonts w:cs="Arial"/>
                <w:b/>
                <w:bCs/>
              </w:rPr>
            </w:pPr>
            <w:bookmarkStart w:id="3" w:name="_Hlk85644671"/>
            <w:r w:rsidRPr="00DA08BC">
              <w:rPr>
                <w:rFonts w:cs="Arial"/>
                <w:b/>
                <w:bCs/>
                <w:color w:val="FFFFFF" w:themeColor="background1"/>
              </w:rPr>
              <w:t>An Exemplary Council</w:t>
            </w:r>
          </w:p>
        </w:tc>
        <w:tc>
          <w:tcPr>
            <w:tcW w:w="5619" w:type="dxa"/>
            <w:shd w:val="clear" w:color="auto" w:fill="0070C0"/>
          </w:tcPr>
          <w:p w14:paraId="39BA2254" w14:textId="77777777" w:rsidR="00C055F8" w:rsidRPr="00DA08BC" w:rsidRDefault="00F24962" w:rsidP="00C055F8">
            <w:pPr>
              <w:rPr>
                <w:rFonts w:cs="Arial"/>
              </w:rPr>
            </w:pPr>
          </w:p>
        </w:tc>
      </w:tr>
      <w:tr w:rsidR="00E03946" w14:paraId="39BA2258" w14:textId="77777777" w:rsidTr="00C055F8">
        <w:trPr>
          <w:trHeight w:val="1361"/>
        </w:trPr>
        <w:tc>
          <w:tcPr>
            <w:tcW w:w="3828" w:type="dxa"/>
            <w:shd w:val="clear" w:color="auto" w:fill="auto"/>
          </w:tcPr>
          <w:p w14:paraId="39BA2256" w14:textId="77777777" w:rsidR="00C055F8" w:rsidRPr="00DA08BC" w:rsidRDefault="00F24962" w:rsidP="00C055F8">
            <w:pPr>
              <w:rPr>
                <w:rFonts w:cs="Arial"/>
              </w:rPr>
            </w:pPr>
            <w:r w:rsidRPr="00DA08BC">
              <w:rPr>
                <w:rFonts w:cs="Arial"/>
              </w:rPr>
              <w:t xml:space="preserve">Deliver the peer challenge action plan to ensure continued </w:t>
            </w:r>
            <w:r w:rsidRPr="00DA08BC">
              <w:rPr>
                <w:rFonts w:cs="Arial"/>
              </w:rPr>
              <w:t>improvement</w:t>
            </w:r>
          </w:p>
        </w:tc>
        <w:tc>
          <w:tcPr>
            <w:tcW w:w="5619" w:type="dxa"/>
            <w:shd w:val="clear" w:color="auto" w:fill="auto"/>
          </w:tcPr>
          <w:p w14:paraId="39BA2257" w14:textId="77777777" w:rsidR="00C055F8" w:rsidRPr="00DA08BC" w:rsidRDefault="00F24962" w:rsidP="00C055F8">
            <w:pPr>
              <w:rPr>
                <w:rFonts w:cs="Arial"/>
              </w:rPr>
            </w:pPr>
            <w:r w:rsidRPr="00DA08BC">
              <w:rPr>
                <w:rFonts w:cs="Arial"/>
              </w:rPr>
              <w:t>As part of our commitment to improvement, this project will put in place actions to respond to the recommendations made by the Local Government Association peer review.</w:t>
            </w:r>
          </w:p>
        </w:tc>
      </w:tr>
      <w:tr w:rsidR="00E03946" w14:paraId="39BA225B" w14:textId="77777777" w:rsidTr="00C055F8">
        <w:trPr>
          <w:trHeight w:val="1361"/>
        </w:trPr>
        <w:tc>
          <w:tcPr>
            <w:tcW w:w="3828" w:type="dxa"/>
            <w:shd w:val="clear" w:color="auto" w:fill="auto"/>
          </w:tcPr>
          <w:p w14:paraId="39BA2259" w14:textId="77777777" w:rsidR="00C055F8" w:rsidRPr="00DA08BC" w:rsidRDefault="00F24962" w:rsidP="00C055F8">
            <w:pPr>
              <w:rPr>
                <w:rFonts w:cs="Arial"/>
              </w:rPr>
            </w:pPr>
            <w:r w:rsidRPr="00DA08BC">
              <w:rPr>
                <w:rFonts w:cs="Arial"/>
              </w:rPr>
              <w:t xml:space="preserve">Deliver the shared services development plan to build a more </w:t>
            </w:r>
            <w:r w:rsidRPr="00DA08BC">
              <w:rPr>
                <w:rFonts w:cs="Arial"/>
              </w:rPr>
              <w:t>resilient organisation</w:t>
            </w:r>
          </w:p>
        </w:tc>
        <w:tc>
          <w:tcPr>
            <w:tcW w:w="5619" w:type="dxa"/>
            <w:shd w:val="clear" w:color="auto" w:fill="auto"/>
          </w:tcPr>
          <w:p w14:paraId="39BA225A" w14:textId="77777777" w:rsidR="00C055F8" w:rsidRPr="00DA08BC" w:rsidRDefault="00F24962" w:rsidP="00C055F8">
            <w:pPr>
              <w:rPr>
                <w:rFonts w:cs="Arial"/>
              </w:rPr>
            </w:pPr>
            <w:r w:rsidRPr="00DA08BC">
              <w:rPr>
                <w:rFonts w:cs="Arial"/>
              </w:rPr>
              <w:t>A range of council services are now shared with Chorley Council. Each service has a development plan to establish strong processes and a positive working culture.  This project will deliver the development plans.</w:t>
            </w:r>
          </w:p>
        </w:tc>
      </w:tr>
      <w:tr w:rsidR="00E03946" w14:paraId="39BA225E" w14:textId="77777777" w:rsidTr="00C055F8">
        <w:trPr>
          <w:trHeight w:val="1361"/>
        </w:trPr>
        <w:tc>
          <w:tcPr>
            <w:tcW w:w="3828" w:type="dxa"/>
            <w:shd w:val="clear" w:color="auto" w:fill="auto"/>
          </w:tcPr>
          <w:p w14:paraId="39BA225C" w14:textId="77777777" w:rsidR="00C055F8" w:rsidRPr="00DA08BC" w:rsidRDefault="00F24962" w:rsidP="00C055F8">
            <w:pPr>
              <w:rPr>
                <w:rFonts w:cs="Arial"/>
              </w:rPr>
            </w:pPr>
            <w:r w:rsidRPr="00DA08BC">
              <w:rPr>
                <w:rFonts w:cs="Arial"/>
              </w:rPr>
              <w:t>Implement more effi</w:t>
            </w:r>
            <w:r w:rsidRPr="00DA08BC">
              <w:rPr>
                <w:rFonts w:cs="Arial"/>
              </w:rPr>
              <w:t>cient and effective working practices at the council through the Work</w:t>
            </w:r>
            <w:r>
              <w:rPr>
                <w:rFonts w:cs="Arial"/>
              </w:rPr>
              <w:t>p</w:t>
            </w:r>
            <w:r w:rsidRPr="00DA08BC">
              <w:rPr>
                <w:rFonts w:cs="Arial"/>
              </w:rPr>
              <w:t>lace Strategy</w:t>
            </w:r>
          </w:p>
        </w:tc>
        <w:tc>
          <w:tcPr>
            <w:tcW w:w="5619" w:type="dxa"/>
            <w:shd w:val="clear" w:color="auto" w:fill="auto"/>
          </w:tcPr>
          <w:p w14:paraId="39BA225D" w14:textId="77777777" w:rsidR="00C055F8" w:rsidRPr="00DA08BC" w:rsidRDefault="00F24962" w:rsidP="00C055F8">
            <w:pPr>
              <w:rPr>
                <w:rFonts w:cs="Arial"/>
              </w:rPr>
            </w:pPr>
            <w:r w:rsidRPr="00DA08BC">
              <w:rPr>
                <w:rFonts w:cs="Arial"/>
              </w:rPr>
              <w:t>This project will deliver the Work</w:t>
            </w:r>
            <w:r>
              <w:rPr>
                <w:rFonts w:cs="Arial"/>
              </w:rPr>
              <w:t>p</w:t>
            </w:r>
            <w:r w:rsidRPr="00DA08BC">
              <w:rPr>
                <w:rFonts w:cs="Arial"/>
              </w:rPr>
              <w:t xml:space="preserve">lace Strategy and year </w:t>
            </w:r>
            <w:r>
              <w:rPr>
                <w:rFonts w:cs="Arial"/>
              </w:rPr>
              <w:t>one</w:t>
            </w:r>
            <w:r w:rsidRPr="00DA08BC">
              <w:rPr>
                <w:rFonts w:cs="Arial"/>
              </w:rPr>
              <w:t xml:space="preserve"> actions to improve the office environment and the way that staff work.</w:t>
            </w:r>
          </w:p>
        </w:tc>
      </w:tr>
      <w:tr w:rsidR="00E03946" w14:paraId="39BA2262" w14:textId="77777777" w:rsidTr="00C055F8">
        <w:trPr>
          <w:trHeight w:val="1361"/>
        </w:trPr>
        <w:tc>
          <w:tcPr>
            <w:tcW w:w="3828" w:type="dxa"/>
            <w:shd w:val="clear" w:color="auto" w:fill="auto"/>
          </w:tcPr>
          <w:p w14:paraId="39BA225F" w14:textId="77777777" w:rsidR="00C055F8" w:rsidRPr="00DA08BC" w:rsidRDefault="00F24962" w:rsidP="00C055F8">
            <w:pPr>
              <w:rPr>
                <w:rFonts w:cs="Arial"/>
              </w:rPr>
            </w:pPr>
            <w:r w:rsidRPr="00DA08BC">
              <w:rPr>
                <w:rFonts w:cs="Arial"/>
              </w:rPr>
              <w:t>Deliver more joined up public services</w:t>
            </w:r>
            <w:r w:rsidRPr="00DA08BC">
              <w:rPr>
                <w:rFonts w:cs="Arial"/>
              </w:rPr>
              <w:t xml:space="preserve"> through working with our partners</w:t>
            </w:r>
          </w:p>
        </w:tc>
        <w:tc>
          <w:tcPr>
            <w:tcW w:w="5619" w:type="dxa"/>
            <w:shd w:val="clear" w:color="auto" w:fill="auto"/>
          </w:tcPr>
          <w:p w14:paraId="39BA2260" w14:textId="77777777" w:rsidR="005B15E3" w:rsidRDefault="00F24962" w:rsidP="00C055F8">
            <w:pPr>
              <w:rPr>
                <w:rFonts w:cs="Arial"/>
              </w:rPr>
            </w:pPr>
            <w:r w:rsidRPr="00DA08BC">
              <w:rPr>
                <w:rFonts w:cs="Arial"/>
              </w:rPr>
              <w:t>This project will work with partners to join up services so that they make more sense for residents through better sharing of intelligence, more integrated structures and reduced duplication.</w:t>
            </w:r>
          </w:p>
          <w:p w14:paraId="39BA2261" w14:textId="77777777" w:rsidR="005B15E3" w:rsidRPr="00DA08BC" w:rsidRDefault="00F24962" w:rsidP="00C055F8">
            <w:pPr>
              <w:rPr>
                <w:rFonts w:cs="Arial"/>
              </w:rPr>
            </w:pPr>
          </w:p>
        </w:tc>
      </w:tr>
      <w:tr w:rsidR="00E03946" w14:paraId="39BA2264" w14:textId="77777777" w:rsidTr="00C055F8">
        <w:trPr>
          <w:trHeight w:val="377"/>
        </w:trPr>
        <w:tc>
          <w:tcPr>
            <w:tcW w:w="9447" w:type="dxa"/>
            <w:gridSpan w:val="2"/>
            <w:shd w:val="clear" w:color="auto" w:fill="7030A0"/>
            <w:vAlign w:val="center"/>
          </w:tcPr>
          <w:p w14:paraId="39BA2263" w14:textId="77777777" w:rsidR="00C055F8" w:rsidRPr="00DA08BC" w:rsidRDefault="00F24962" w:rsidP="00C055F8">
            <w:pPr>
              <w:rPr>
                <w:rFonts w:cs="Arial"/>
              </w:rPr>
            </w:pPr>
            <w:r w:rsidRPr="00DA08BC">
              <w:rPr>
                <w:rFonts w:cs="Arial"/>
                <w:b/>
                <w:bCs/>
                <w:color w:val="FFFFFF" w:themeColor="background1"/>
              </w:rPr>
              <w:t>A fair local economy that w</w:t>
            </w:r>
            <w:r w:rsidRPr="00DA08BC">
              <w:rPr>
                <w:rFonts w:cs="Arial"/>
                <w:b/>
                <w:bCs/>
                <w:color w:val="FFFFFF" w:themeColor="background1"/>
              </w:rPr>
              <w:t>orks for everyone</w:t>
            </w:r>
          </w:p>
        </w:tc>
      </w:tr>
      <w:tr w:rsidR="00E03946" w14:paraId="39BA2267" w14:textId="77777777" w:rsidTr="00C055F8">
        <w:trPr>
          <w:trHeight w:val="1265"/>
        </w:trPr>
        <w:tc>
          <w:tcPr>
            <w:tcW w:w="3828" w:type="dxa"/>
            <w:shd w:val="clear" w:color="auto" w:fill="auto"/>
          </w:tcPr>
          <w:p w14:paraId="39BA2265" w14:textId="77777777" w:rsidR="00C055F8" w:rsidRPr="00DA08BC" w:rsidRDefault="00F24962" w:rsidP="00C055F8">
            <w:pPr>
              <w:rPr>
                <w:rFonts w:cs="Arial"/>
              </w:rPr>
            </w:pPr>
            <w:r w:rsidRPr="00DA08BC">
              <w:rPr>
                <w:rFonts w:cs="Arial"/>
              </w:rPr>
              <w:t xml:space="preserve">Deliver transformational regeneration projects including the Town Deal </w:t>
            </w:r>
          </w:p>
        </w:tc>
        <w:tc>
          <w:tcPr>
            <w:tcW w:w="5619" w:type="dxa"/>
            <w:shd w:val="clear" w:color="auto" w:fill="auto"/>
          </w:tcPr>
          <w:p w14:paraId="39BA2266" w14:textId="77777777" w:rsidR="00C055F8" w:rsidRPr="00DA08BC" w:rsidRDefault="00F24962" w:rsidP="00C055F8">
            <w:pPr>
              <w:rPr>
                <w:rFonts w:cs="Arial"/>
              </w:rPr>
            </w:pPr>
            <w:r w:rsidRPr="00DA08BC">
              <w:rPr>
                <w:rFonts w:cs="Arial"/>
              </w:rPr>
              <w:t xml:space="preserve">This project will deliver the Town Deal but also include other regeneration plans for other local service centres </w:t>
            </w:r>
          </w:p>
        </w:tc>
      </w:tr>
      <w:tr w:rsidR="00E03946" w14:paraId="39BA226B" w14:textId="77777777" w:rsidTr="00C055F8">
        <w:trPr>
          <w:trHeight w:val="1265"/>
        </w:trPr>
        <w:tc>
          <w:tcPr>
            <w:tcW w:w="3828" w:type="dxa"/>
            <w:shd w:val="clear" w:color="auto" w:fill="auto"/>
          </w:tcPr>
          <w:p w14:paraId="39BA2268" w14:textId="77777777" w:rsidR="00C055F8" w:rsidRPr="007359AC" w:rsidRDefault="00F24962" w:rsidP="00C055F8">
            <w:pPr>
              <w:rPr>
                <w:rFonts w:ascii="Calibri" w:eastAsia="Times New Roman" w:hAnsi="Calibri" w:cs="Calibri"/>
              </w:rPr>
            </w:pPr>
            <w:r w:rsidRPr="007359AC">
              <w:rPr>
                <w:rFonts w:eastAsia="Times New Roman"/>
              </w:rPr>
              <w:t>Support communities to access</w:t>
            </w:r>
            <w:r>
              <w:rPr>
                <w:rFonts w:eastAsia="Times New Roman"/>
              </w:rPr>
              <w:t xml:space="preserve"> </w:t>
            </w:r>
            <w:r w:rsidRPr="007359AC">
              <w:rPr>
                <w:rFonts w:eastAsia="Times New Roman"/>
              </w:rPr>
              <w:t xml:space="preserve">community cooperatives in South Ribble as part of growing a fair local economy </w:t>
            </w:r>
          </w:p>
          <w:p w14:paraId="39BA2269" w14:textId="77777777" w:rsidR="00C055F8" w:rsidRPr="007359AC" w:rsidRDefault="00F24962" w:rsidP="00C055F8">
            <w:pPr>
              <w:rPr>
                <w:rFonts w:cs="Arial"/>
              </w:rPr>
            </w:pPr>
          </w:p>
        </w:tc>
        <w:tc>
          <w:tcPr>
            <w:tcW w:w="5619" w:type="dxa"/>
            <w:shd w:val="clear" w:color="auto" w:fill="auto"/>
          </w:tcPr>
          <w:p w14:paraId="39BA226A" w14:textId="77777777" w:rsidR="00C055F8" w:rsidRPr="007359AC" w:rsidRDefault="00F24962" w:rsidP="00C055F8">
            <w:pPr>
              <w:rPr>
                <w:rFonts w:cs="Arial"/>
              </w:rPr>
            </w:pPr>
            <w:r w:rsidRPr="007359AC">
              <w:t>As part of Community Wealth Building, this project will identify with communities and test a community-led approach to accessing goods or services such as a food sharing netwo</w:t>
            </w:r>
            <w:r w:rsidRPr="007359AC">
              <w:t>rk or an energy collective.</w:t>
            </w:r>
          </w:p>
        </w:tc>
      </w:tr>
      <w:tr w:rsidR="00E03946" w14:paraId="39BA226E" w14:textId="77777777" w:rsidTr="00C055F8">
        <w:trPr>
          <w:trHeight w:val="1265"/>
        </w:trPr>
        <w:tc>
          <w:tcPr>
            <w:tcW w:w="3828" w:type="dxa"/>
            <w:shd w:val="clear" w:color="auto" w:fill="auto"/>
          </w:tcPr>
          <w:p w14:paraId="39BA226C" w14:textId="77777777" w:rsidR="00C055F8" w:rsidRPr="00DA08BC" w:rsidRDefault="00F24962" w:rsidP="00C055F8">
            <w:pPr>
              <w:rPr>
                <w:rFonts w:cs="Arial"/>
              </w:rPr>
            </w:pPr>
            <w:r w:rsidRPr="00DA08BC">
              <w:rPr>
                <w:rFonts w:cs="Arial"/>
              </w:rPr>
              <w:lastRenderedPageBreak/>
              <w:t>Support residents to recover from the pandemic with advice, support and key services</w:t>
            </w:r>
          </w:p>
        </w:tc>
        <w:tc>
          <w:tcPr>
            <w:tcW w:w="5619" w:type="dxa"/>
            <w:shd w:val="clear" w:color="auto" w:fill="auto"/>
          </w:tcPr>
          <w:p w14:paraId="39BA226D" w14:textId="77777777" w:rsidR="00C055F8" w:rsidRPr="00DA08BC" w:rsidRDefault="00F24962" w:rsidP="00C055F8">
            <w:pPr>
              <w:rPr>
                <w:rFonts w:cs="Arial"/>
              </w:rPr>
            </w:pPr>
            <w:r w:rsidRPr="00DA08BC">
              <w:rPr>
                <w:rFonts w:cs="Arial"/>
              </w:rPr>
              <w:t>This project will provide a ‘One Front Door’ response for residents in need of support with debt, employability or housing by providing a sing</w:t>
            </w:r>
            <w:r w:rsidRPr="00DA08BC">
              <w:rPr>
                <w:rFonts w:cs="Arial"/>
              </w:rPr>
              <w:t>le point of access to a range of council and partner services so that they don’t have to go to lots of different places for help.</w:t>
            </w:r>
          </w:p>
        </w:tc>
      </w:tr>
      <w:tr w:rsidR="00E03946" w14:paraId="39BA2270" w14:textId="77777777" w:rsidTr="00C055F8">
        <w:trPr>
          <w:trHeight w:val="359"/>
        </w:trPr>
        <w:tc>
          <w:tcPr>
            <w:tcW w:w="9447" w:type="dxa"/>
            <w:gridSpan w:val="2"/>
            <w:shd w:val="clear" w:color="auto" w:fill="FF0000"/>
            <w:vAlign w:val="center"/>
          </w:tcPr>
          <w:p w14:paraId="39BA226F" w14:textId="77777777" w:rsidR="00C055F8" w:rsidRPr="00DA08BC" w:rsidRDefault="00F24962" w:rsidP="00C055F8">
            <w:pPr>
              <w:rPr>
                <w:rFonts w:cs="Arial"/>
              </w:rPr>
            </w:pPr>
            <w:r w:rsidRPr="00DA08BC">
              <w:rPr>
                <w:rFonts w:cs="Arial"/>
                <w:b/>
                <w:bCs/>
                <w:color w:val="FFFFFF" w:themeColor="background1"/>
              </w:rPr>
              <w:t>Thriving communities</w:t>
            </w:r>
          </w:p>
        </w:tc>
      </w:tr>
      <w:tr w:rsidR="00E03946" w14:paraId="39BA2273" w14:textId="77777777" w:rsidTr="00C15153">
        <w:trPr>
          <w:trHeight w:val="1012"/>
        </w:trPr>
        <w:tc>
          <w:tcPr>
            <w:tcW w:w="3828" w:type="dxa"/>
          </w:tcPr>
          <w:p w14:paraId="39BA2271" w14:textId="77777777" w:rsidR="00C055F8" w:rsidRPr="00DA08BC" w:rsidRDefault="00F24962" w:rsidP="00C055F8">
            <w:pPr>
              <w:rPr>
                <w:rFonts w:cs="Arial"/>
              </w:rPr>
            </w:pPr>
            <w:r w:rsidRPr="00DA08BC">
              <w:rPr>
                <w:rFonts w:cs="Arial"/>
              </w:rPr>
              <w:t xml:space="preserve">Develop the Youth Council to make sure the views of young people are represented </w:t>
            </w:r>
          </w:p>
        </w:tc>
        <w:tc>
          <w:tcPr>
            <w:tcW w:w="5619" w:type="dxa"/>
          </w:tcPr>
          <w:p w14:paraId="39BA2272" w14:textId="77777777" w:rsidR="00C055F8" w:rsidRPr="00DA08BC" w:rsidRDefault="00F24962" w:rsidP="00C055F8">
            <w:pPr>
              <w:rPr>
                <w:rFonts w:cs="Arial"/>
              </w:rPr>
            </w:pPr>
            <w:r w:rsidRPr="00DA08BC">
              <w:rPr>
                <w:rFonts w:cs="Arial"/>
              </w:rPr>
              <w:t>This project will tak</w:t>
            </w:r>
            <w:r w:rsidRPr="00DA08BC">
              <w:rPr>
                <w:rFonts w:cs="Arial"/>
              </w:rPr>
              <w:t>e forward the work of the Youth Council with a programme of meetings and an action plan to increase democratic participation across young people.</w:t>
            </w:r>
          </w:p>
        </w:tc>
      </w:tr>
      <w:tr w:rsidR="00E03946" w14:paraId="39BA2276" w14:textId="77777777" w:rsidTr="00C15153">
        <w:trPr>
          <w:trHeight w:val="1012"/>
        </w:trPr>
        <w:tc>
          <w:tcPr>
            <w:tcW w:w="3828" w:type="dxa"/>
          </w:tcPr>
          <w:p w14:paraId="39BA2274" w14:textId="77777777" w:rsidR="00C055F8" w:rsidRPr="00DA08BC" w:rsidRDefault="00F24962" w:rsidP="00C055F8">
            <w:pPr>
              <w:rPr>
                <w:rFonts w:cs="Arial"/>
              </w:rPr>
            </w:pPr>
            <w:r w:rsidRPr="00DA08BC">
              <w:rPr>
                <w:rFonts w:cs="Arial"/>
              </w:rPr>
              <w:t>Deliver Music in the Park 2022 and Queens Jubilee Celebrations</w:t>
            </w:r>
          </w:p>
        </w:tc>
        <w:tc>
          <w:tcPr>
            <w:tcW w:w="5619" w:type="dxa"/>
          </w:tcPr>
          <w:p w14:paraId="39BA2275" w14:textId="77777777" w:rsidR="00C055F8" w:rsidRPr="00DA08BC" w:rsidRDefault="00F24962" w:rsidP="00C055F8">
            <w:pPr>
              <w:rPr>
                <w:rFonts w:cs="Arial"/>
              </w:rPr>
            </w:pPr>
            <w:r w:rsidRPr="00DA08BC">
              <w:rPr>
                <w:rFonts w:cs="Arial"/>
              </w:rPr>
              <w:t xml:space="preserve">This project will deliver the event due to </w:t>
            </w:r>
            <w:r w:rsidRPr="00DA08BC">
              <w:rPr>
                <w:rFonts w:cs="Arial"/>
              </w:rPr>
              <w:t>take place in 2022.</w:t>
            </w:r>
          </w:p>
        </w:tc>
      </w:tr>
      <w:tr w:rsidR="00E03946" w14:paraId="39BA2279" w14:textId="77777777" w:rsidTr="00C15153">
        <w:trPr>
          <w:trHeight w:val="1012"/>
        </w:trPr>
        <w:tc>
          <w:tcPr>
            <w:tcW w:w="3828" w:type="dxa"/>
          </w:tcPr>
          <w:p w14:paraId="39BA2277" w14:textId="77777777" w:rsidR="00C055F8" w:rsidRPr="00DA08BC" w:rsidRDefault="00F24962" w:rsidP="00C055F8">
            <w:pPr>
              <w:rPr>
                <w:rFonts w:cs="Arial"/>
              </w:rPr>
            </w:pPr>
            <w:r w:rsidRPr="00DA08BC">
              <w:rPr>
                <w:rFonts w:cs="Arial"/>
              </w:rPr>
              <w:t>Review and enhance the community hubs as a primary way to work closely with residents</w:t>
            </w:r>
          </w:p>
        </w:tc>
        <w:tc>
          <w:tcPr>
            <w:tcW w:w="5619" w:type="dxa"/>
          </w:tcPr>
          <w:p w14:paraId="39BA2278" w14:textId="77777777" w:rsidR="00C055F8" w:rsidRPr="00DA08BC" w:rsidRDefault="00F24962" w:rsidP="00C055F8">
            <w:pPr>
              <w:rPr>
                <w:rFonts w:cs="Arial"/>
              </w:rPr>
            </w:pPr>
            <w:r w:rsidRPr="00DA08BC">
              <w:rPr>
                <w:rFonts w:cs="Arial"/>
              </w:rPr>
              <w:t>This project will deliver the community hub action plans and ‘boost’ fund to enable more to be achieved to meet local priorities.  It will also deliv</w:t>
            </w:r>
            <w:r w:rsidRPr="00DA08BC">
              <w:rPr>
                <w:rFonts w:cs="Arial"/>
              </w:rPr>
              <w:t xml:space="preserve">er the review and evaluation of community hubs. </w:t>
            </w:r>
          </w:p>
        </w:tc>
      </w:tr>
      <w:tr w:rsidR="00E03946" w14:paraId="39BA227D" w14:textId="77777777" w:rsidTr="00C15153">
        <w:trPr>
          <w:trHeight w:val="1012"/>
        </w:trPr>
        <w:tc>
          <w:tcPr>
            <w:tcW w:w="3828" w:type="dxa"/>
          </w:tcPr>
          <w:p w14:paraId="39BA227A" w14:textId="77777777" w:rsidR="00C055F8" w:rsidRPr="007359AC" w:rsidRDefault="00F24962" w:rsidP="00C055F8">
            <w:r w:rsidRPr="007359AC">
              <w:t>Develop the visitor offer in South Ribble.</w:t>
            </w:r>
          </w:p>
          <w:p w14:paraId="39BA227B" w14:textId="77777777" w:rsidR="00C055F8" w:rsidRPr="007359AC" w:rsidRDefault="00F24962" w:rsidP="00C055F8">
            <w:pPr>
              <w:rPr>
                <w:rFonts w:cs="Arial"/>
              </w:rPr>
            </w:pPr>
          </w:p>
        </w:tc>
        <w:tc>
          <w:tcPr>
            <w:tcW w:w="5619" w:type="dxa"/>
          </w:tcPr>
          <w:p w14:paraId="39BA227C" w14:textId="77777777" w:rsidR="00C055F8" w:rsidRPr="007359AC" w:rsidRDefault="00F24962" w:rsidP="00C055F8">
            <w:pPr>
              <w:rPr>
                <w:rFonts w:cs="Arial"/>
              </w:rPr>
            </w:pPr>
            <w:r w:rsidRPr="007359AC">
              <w:t>Create a tourism strategy for South Ribble with a new campaign to promote the borough as we recover from the pandemic</w:t>
            </w:r>
          </w:p>
        </w:tc>
      </w:tr>
      <w:tr w:rsidR="00E03946" w14:paraId="39BA227F" w14:textId="77777777" w:rsidTr="00C055F8">
        <w:tc>
          <w:tcPr>
            <w:tcW w:w="9447" w:type="dxa"/>
            <w:gridSpan w:val="2"/>
            <w:shd w:val="clear" w:color="auto" w:fill="92D050"/>
            <w:vAlign w:val="center"/>
          </w:tcPr>
          <w:p w14:paraId="39BA227E" w14:textId="77777777" w:rsidR="00C055F8" w:rsidRPr="00DA08BC" w:rsidRDefault="00F24962" w:rsidP="00C055F8">
            <w:pPr>
              <w:rPr>
                <w:rFonts w:cs="Arial"/>
              </w:rPr>
            </w:pPr>
            <w:r w:rsidRPr="00DA08BC">
              <w:rPr>
                <w:rFonts w:cs="Arial"/>
                <w:b/>
                <w:bCs/>
                <w:color w:val="FFFFFF" w:themeColor="background1"/>
              </w:rPr>
              <w:t xml:space="preserve">Good homes, green spaces, healthy </w:t>
            </w:r>
            <w:r w:rsidRPr="00DA08BC">
              <w:rPr>
                <w:rFonts w:cs="Arial"/>
                <w:b/>
                <w:bCs/>
                <w:color w:val="FFFFFF" w:themeColor="background1"/>
              </w:rPr>
              <w:t>places</w:t>
            </w:r>
          </w:p>
        </w:tc>
      </w:tr>
      <w:tr w:rsidR="00E03946" w14:paraId="39BA2282" w14:textId="77777777" w:rsidTr="00C055F8">
        <w:trPr>
          <w:trHeight w:val="1213"/>
        </w:trPr>
        <w:tc>
          <w:tcPr>
            <w:tcW w:w="3828" w:type="dxa"/>
          </w:tcPr>
          <w:p w14:paraId="39BA2280" w14:textId="77777777" w:rsidR="00C055F8" w:rsidRPr="00DA08BC" w:rsidRDefault="00F24962" w:rsidP="00C055F8">
            <w:pPr>
              <w:rPr>
                <w:rFonts w:cs="Arial"/>
              </w:rPr>
            </w:pPr>
            <w:r w:rsidRPr="00DA08BC">
              <w:rPr>
                <w:rFonts w:cs="Arial"/>
              </w:rPr>
              <w:t>Improve leisure facilities in South Ribble to improve wellbeing</w:t>
            </w:r>
          </w:p>
        </w:tc>
        <w:tc>
          <w:tcPr>
            <w:tcW w:w="5619" w:type="dxa"/>
          </w:tcPr>
          <w:p w14:paraId="39BA2281" w14:textId="77777777" w:rsidR="00C055F8" w:rsidRPr="00DA08BC" w:rsidRDefault="00F24962" w:rsidP="00C055F8">
            <w:pPr>
              <w:rPr>
                <w:rFonts w:cs="Arial"/>
              </w:rPr>
            </w:pPr>
            <w:r w:rsidRPr="00DA08BC">
              <w:rPr>
                <w:rFonts w:cs="Arial"/>
              </w:rPr>
              <w:t>This project will improve the current leisure services to provide a better offer and user experience to increase overall wellbeing.  It will also launch the plans for a new leisure cen</w:t>
            </w:r>
            <w:r w:rsidRPr="00DA08BC">
              <w:rPr>
                <w:rFonts w:cs="Arial"/>
              </w:rPr>
              <w:t>tre.</w:t>
            </w:r>
          </w:p>
        </w:tc>
      </w:tr>
      <w:tr w:rsidR="00E03946" w14:paraId="39BA2285" w14:textId="77777777" w:rsidTr="00C055F8">
        <w:trPr>
          <w:trHeight w:val="975"/>
        </w:trPr>
        <w:tc>
          <w:tcPr>
            <w:tcW w:w="3828" w:type="dxa"/>
          </w:tcPr>
          <w:p w14:paraId="39BA2283" w14:textId="77777777" w:rsidR="00C055F8" w:rsidRPr="00DA08BC" w:rsidRDefault="00F24962" w:rsidP="00C055F8">
            <w:pPr>
              <w:rPr>
                <w:rFonts w:cs="Arial"/>
              </w:rPr>
            </w:pPr>
            <w:r w:rsidRPr="00DA08BC">
              <w:rPr>
                <w:rFonts w:cs="Arial"/>
              </w:rPr>
              <w:t>Deliver the new Worden Hall complex as a flagship venue</w:t>
            </w:r>
          </w:p>
        </w:tc>
        <w:tc>
          <w:tcPr>
            <w:tcW w:w="5619" w:type="dxa"/>
          </w:tcPr>
          <w:p w14:paraId="39BA2284" w14:textId="77777777" w:rsidR="00C055F8" w:rsidRPr="00DA08BC" w:rsidRDefault="00F24962" w:rsidP="00C055F8">
            <w:pPr>
              <w:rPr>
                <w:rFonts w:cs="Arial"/>
              </w:rPr>
            </w:pPr>
            <w:r w:rsidRPr="00DA08BC">
              <w:rPr>
                <w:rFonts w:cs="Arial"/>
              </w:rPr>
              <w:t>The new Worden Hall complex will be completed and opened in early 2022.</w:t>
            </w:r>
          </w:p>
        </w:tc>
      </w:tr>
      <w:tr w:rsidR="00E03946" w14:paraId="39BA228B" w14:textId="77777777" w:rsidTr="00C055F8">
        <w:trPr>
          <w:trHeight w:val="1518"/>
        </w:trPr>
        <w:tc>
          <w:tcPr>
            <w:tcW w:w="3828" w:type="dxa"/>
          </w:tcPr>
          <w:p w14:paraId="39BA2286" w14:textId="77777777" w:rsidR="00C055F8" w:rsidRPr="00DA08BC" w:rsidRDefault="00F24962" w:rsidP="00C055F8">
            <w:pPr>
              <w:rPr>
                <w:rFonts w:cs="Arial"/>
              </w:rPr>
            </w:pPr>
            <w:r w:rsidRPr="00DA08BC">
              <w:rPr>
                <w:rFonts w:cs="Arial"/>
              </w:rPr>
              <w:t>Lead action to address climate change for South Ribble</w:t>
            </w:r>
          </w:p>
        </w:tc>
        <w:tc>
          <w:tcPr>
            <w:tcW w:w="5619" w:type="dxa"/>
          </w:tcPr>
          <w:p w14:paraId="39BA2287" w14:textId="77777777" w:rsidR="00C055F8" w:rsidRPr="00DA08BC" w:rsidRDefault="00F24962" w:rsidP="00C055F8">
            <w:pPr>
              <w:rPr>
                <w:rFonts w:cs="Arial"/>
              </w:rPr>
            </w:pPr>
            <w:r w:rsidRPr="00DA08BC">
              <w:rPr>
                <w:rFonts w:cs="Arial"/>
              </w:rPr>
              <w:t xml:space="preserve">The council will lead activity to address climate change and </w:t>
            </w:r>
            <w:r w:rsidRPr="00DA08BC">
              <w:rPr>
                <w:rFonts w:cs="Arial"/>
              </w:rPr>
              <w:t>encourage residents to make positive changes with specific actions including:</w:t>
            </w:r>
          </w:p>
          <w:p w14:paraId="39BA2288" w14:textId="77777777" w:rsidR="00C055F8" w:rsidRPr="00DA08BC" w:rsidRDefault="00F24962" w:rsidP="00C055F8">
            <w:pPr>
              <w:numPr>
                <w:ilvl w:val="0"/>
                <w:numId w:val="13"/>
              </w:numPr>
              <w:contextualSpacing/>
              <w:rPr>
                <w:rFonts w:cs="Arial"/>
              </w:rPr>
            </w:pPr>
            <w:r w:rsidRPr="00DA08BC">
              <w:rPr>
                <w:rFonts w:cs="Arial"/>
              </w:rPr>
              <w:t>Decarbonisation of council assets</w:t>
            </w:r>
          </w:p>
          <w:p w14:paraId="39BA2289" w14:textId="77777777" w:rsidR="00C055F8" w:rsidRPr="00DA08BC" w:rsidRDefault="00F24962" w:rsidP="00C055F8">
            <w:pPr>
              <w:numPr>
                <w:ilvl w:val="0"/>
                <w:numId w:val="13"/>
              </w:numPr>
              <w:contextualSpacing/>
              <w:rPr>
                <w:rFonts w:cs="Arial"/>
              </w:rPr>
            </w:pPr>
            <w:r w:rsidRPr="00DA08BC">
              <w:rPr>
                <w:rFonts w:cs="Arial"/>
              </w:rPr>
              <w:t>Electrification of the council vehicle fleet</w:t>
            </w:r>
          </w:p>
          <w:p w14:paraId="39BA228A" w14:textId="77777777" w:rsidR="00C055F8" w:rsidRPr="00DA08BC" w:rsidRDefault="00F24962" w:rsidP="00C055F8">
            <w:pPr>
              <w:numPr>
                <w:ilvl w:val="0"/>
                <w:numId w:val="13"/>
              </w:numPr>
              <w:contextualSpacing/>
              <w:rPr>
                <w:rFonts w:cs="Arial"/>
              </w:rPr>
            </w:pPr>
            <w:r>
              <w:rPr>
                <w:rFonts w:cs="Arial"/>
              </w:rPr>
              <w:t xml:space="preserve">Improving recycling </w:t>
            </w:r>
          </w:p>
        </w:tc>
      </w:tr>
      <w:tr w:rsidR="00E03946" w14:paraId="39BA228E" w14:textId="77777777" w:rsidTr="00C055F8">
        <w:trPr>
          <w:trHeight w:val="917"/>
        </w:trPr>
        <w:tc>
          <w:tcPr>
            <w:tcW w:w="3828" w:type="dxa"/>
          </w:tcPr>
          <w:p w14:paraId="39BA228C" w14:textId="77777777" w:rsidR="00C055F8" w:rsidRPr="00DA08BC" w:rsidRDefault="00F24962" w:rsidP="00C055F8">
            <w:pPr>
              <w:rPr>
                <w:rFonts w:cs="Arial"/>
              </w:rPr>
            </w:pPr>
            <w:r w:rsidRPr="00DA08BC">
              <w:rPr>
                <w:rFonts w:cs="Arial"/>
              </w:rPr>
              <w:t>Deliver affordable homes</w:t>
            </w:r>
          </w:p>
        </w:tc>
        <w:tc>
          <w:tcPr>
            <w:tcW w:w="5619" w:type="dxa"/>
          </w:tcPr>
          <w:p w14:paraId="39BA228D" w14:textId="77777777" w:rsidR="00C055F8" w:rsidRPr="00DA08BC" w:rsidRDefault="00F24962" w:rsidP="00C055F8">
            <w:pPr>
              <w:rPr>
                <w:rFonts w:cs="Arial"/>
              </w:rPr>
            </w:pPr>
            <w:r w:rsidRPr="00DA08BC">
              <w:rPr>
                <w:rFonts w:cs="Arial"/>
              </w:rPr>
              <w:t xml:space="preserve">This project will deliver the affordable homes </w:t>
            </w:r>
            <w:r w:rsidRPr="00DA08BC">
              <w:rPr>
                <w:rFonts w:cs="Arial"/>
              </w:rPr>
              <w:t>project at the McKenzie Arms and progress the development of the Extra Care facility</w:t>
            </w:r>
          </w:p>
        </w:tc>
      </w:tr>
      <w:bookmarkEnd w:id="3"/>
    </w:tbl>
    <w:p w14:paraId="39BA228F" w14:textId="77777777" w:rsidR="005B15E3" w:rsidRDefault="00F24962" w:rsidP="001E3F80"/>
    <w:p w14:paraId="39BA2290" w14:textId="77777777" w:rsidR="00C055F8" w:rsidRPr="00B44183" w:rsidRDefault="00F24962" w:rsidP="005B15E3">
      <w:pPr>
        <w:pStyle w:val="Heading2"/>
        <w:spacing w:before="120" w:after="120" w:afterAutospacing="0"/>
      </w:pPr>
      <w:r w:rsidRPr="00B44183">
        <w:t>Measuring and Reporting Progress</w:t>
      </w:r>
    </w:p>
    <w:p w14:paraId="39BA2291" w14:textId="77777777" w:rsidR="00C055F8" w:rsidRDefault="00F24962" w:rsidP="00C055F8">
      <w:pPr>
        <w:pStyle w:val="ListParagraph"/>
        <w:numPr>
          <w:ilvl w:val="0"/>
          <w:numId w:val="8"/>
        </w:numPr>
        <w:rPr>
          <w:rFonts w:cstheme="minorHAnsi"/>
          <w:bCs/>
          <w:iCs/>
        </w:rPr>
      </w:pPr>
      <w:r w:rsidRPr="00B44183">
        <w:rPr>
          <w:rFonts w:cstheme="minorHAnsi"/>
          <w:bCs/>
          <w:iCs/>
        </w:rPr>
        <w:t xml:space="preserve">The strategy includes </w:t>
      </w:r>
      <w:r>
        <w:rPr>
          <w:rFonts w:cstheme="minorHAnsi"/>
          <w:bCs/>
          <w:iCs/>
        </w:rPr>
        <w:t>27</w:t>
      </w:r>
      <w:r w:rsidRPr="00B44183">
        <w:rPr>
          <w:rFonts w:cstheme="minorHAnsi"/>
          <w:bCs/>
          <w:iCs/>
        </w:rPr>
        <w:t xml:space="preserve"> performance indicators that will be measured and reported against in order to demonstrate success and progress </w:t>
      </w:r>
      <w:r w:rsidRPr="00B44183">
        <w:rPr>
          <w:rFonts w:cstheme="minorHAnsi"/>
          <w:bCs/>
          <w:iCs/>
        </w:rPr>
        <w:t>towards achieving the priorities and long-term outcomes. All of the measures and targets have been reviewed and updated to ensure that they remain challenging to reflect Council ambition. A final list of Corporate Strategy measures for 2020/21 can be found</w:t>
      </w:r>
      <w:r w:rsidRPr="00B44183">
        <w:rPr>
          <w:rFonts w:cstheme="minorHAnsi"/>
          <w:bCs/>
          <w:iCs/>
        </w:rPr>
        <w:t xml:space="preserve"> at Appendix </w:t>
      </w:r>
      <w:r>
        <w:rPr>
          <w:rFonts w:cstheme="minorHAnsi"/>
          <w:bCs/>
          <w:iCs/>
        </w:rPr>
        <w:t>C</w:t>
      </w:r>
      <w:r w:rsidRPr="00B44183">
        <w:rPr>
          <w:rFonts w:cstheme="minorHAnsi"/>
          <w:bCs/>
          <w:iCs/>
        </w:rPr>
        <w:t xml:space="preserve">. </w:t>
      </w:r>
    </w:p>
    <w:p w14:paraId="39BA2292" w14:textId="77777777" w:rsidR="00C055F8" w:rsidRPr="00B44183" w:rsidRDefault="00F24962" w:rsidP="00C055F8">
      <w:pPr>
        <w:pStyle w:val="ListParagraph"/>
        <w:ind w:left="360"/>
        <w:rPr>
          <w:rFonts w:cstheme="minorHAnsi"/>
          <w:bCs/>
          <w:iCs/>
        </w:rPr>
      </w:pPr>
    </w:p>
    <w:p w14:paraId="39BA2293" w14:textId="77777777" w:rsidR="00C055F8" w:rsidRDefault="00F24962" w:rsidP="00C055F8">
      <w:pPr>
        <w:pStyle w:val="ListParagraph"/>
        <w:numPr>
          <w:ilvl w:val="0"/>
          <w:numId w:val="8"/>
        </w:numPr>
        <w:rPr>
          <w:rFonts w:cstheme="minorHAnsi"/>
          <w:bCs/>
          <w:iCs/>
        </w:rPr>
      </w:pPr>
      <w:r w:rsidRPr="00B44183">
        <w:rPr>
          <w:rFonts w:cstheme="minorHAnsi"/>
          <w:bCs/>
          <w:iCs/>
        </w:rPr>
        <w:lastRenderedPageBreak/>
        <w:t xml:space="preserve">Other measures will monitor the benefits delivered by projects (through project management), and a range of indicators will be included in service business plans to monitor the delivery of services at an operational level.  </w:t>
      </w:r>
    </w:p>
    <w:p w14:paraId="39BA2294" w14:textId="77777777" w:rsidR="00C055F8" w:rsidRDefault="00F24962" w:rsidP="00C055F8">
      <w:pPr>
        <w:pStyle w:val="ListParagraph"/>
        <w:ind w:left="360"/>
        <w:rPr>
          <w:rFonts w:cstheme="minorHAnsi"/>
          <w:bCs/>
          <w:iCs/>
        </w:rPr>
      </w:pPr>
    </w:p>
    <w:p w14:paraId="39BA2295" w14:textId="77777777" w:rsidR="00C055F8" w:rsidRDefault="00F24962" w:rsidP="00C055F8">
      <w:pPr>
        <w:pStyle w:val="ListParagraph"/>
        <w:numPr>
          <w:ilvl w:val="0"/>
          <w:numId w:val="8"/>
        </w:numPr>
        <w:rPr>
          <w:rFonts w:cstheme="minorHAnsi"/>
          <w:bCs/>
          <w:iCs/>
        </w:rPr>
      </w:pPr>
      <w:r>
        <w:rPr>
          <w:rFonts w:cstheme="minorHAnsi"/>
          <w:bCs/>
          <w:iCs/>
        </w:rPr>
        <w:t>Four indicat</w:t>
      </w:r>
      <w:r>
        <w:rPr>
          <w:rFonts w:cstheme="minorHAnsi"/>
          <w:bCs/>
          <w:iCs/>
        </w:rPr>
        <w:t>ors have been added to the existing set of indicators to monitor more closely economic impacts on communities and access to financial support.  This includes the following:</w:t>
      </w:r>
    </w:p>
    <w:tbl>
      <w:tblPr>
        <w:tblStyle w:val="TableGrid4"/>
        <w:tblW w:w="9393" w:type="dxa"/>
        <w:tblInd w:w="421" w:type="dxa"/>
        <w:tblLook w:val="04A0" w:firstRow="1" w:lastRow="0" w:firstColumn="1" w:lastColumn="0" w:noHBand="0" w:noVBand="1"/>
      </w:tblPr>
      <w:tblGrid>
        <w:gridCol w:w="2580"/>
        <w:gridCol w:w="1814"/>
        <w:gridCol w:w="1280"/>
        <w:gridCol w:w="3719"/>
      </w:tblGrid>
      <w:tr w:rsidR="00E03946" w14:paraId="39BA229A" w14:textId="77777777" w:rsidTr="005B15E3">
        <w:trPr>
          <w:tblHeader/>
        </w:trPr>
        <w:tc>
          <w:tcPr>
            <w:tcW w:w="2580" w:type="dxa"/>
            <w:shd w:val="clear" w:color="auto" w:fill="808080" w:themeFill="background1" w:themeFillShade="80"/>
            <w:vAlign w:val="center"/>
          </w:tcPr>
          <w:p w14:paraId="39BA2296" w14:textId="77777777" w:rsidR="00C055F8" w:rsidRPr="00E42C54" w:rsidRDefault="00F24962" w:rsidP="00C055F8">
            <w:pPr>
              <w:jc w:val="center"/>
              <w:rPr>
                <w:rFonts w:eastAsia="Calibri"/>
                <w:b/>
                <w:color w:val="FFFFFF"/>
                <w:sz w:val="20"/>
              </w:rPr>
            </w:pPr>
            <w:r w:rsidRPr="00E42C54">
              <w:rPr>
                <w:rFonts w:eastAsia="Calibri"/>
                <w:b/>
                <w:color w:val="FFFFFF"/>
                <w:sz w:val="20"/>
              </w:rPr>
              <w:t>Indicator</w:t>
            </w:r>
          </w:p>
        </w:tc>
        <w:tc>
          <w:tcPr>
            <w:tcW w:w="1814" w:type="dxa"/>
            <w:shd w:val="clear" w:color="auto" w:fill="808080" w:themeFill="background1" w:themeFillShade="80"/>
          </w:tcPr>
          <w:p w14:paraId="39BA2297" w14:textId="77777777" w:rsidR="00C055F8" w:rsidRPr="00E42C54" w:rsidRDefault="00F24962" w:rsidP="00C055F8">
            <w:pPr>
              <w:jc w:val="center"/>
              <w:rPr>
                <w:rFonts w:eastAsia="Calibri"/>
                <w:b/>
                <w:color w:val="FFFFFF"/>
                <w:sz w:val="20"/>
              </w:rPr>
            </w:pPr>
            <w:r w:rsidRPr="00E42C54">
              <w:rPr>
                <w:rFonts w:eastAsia="Calibri"/>
                <w:b/>
                <w:color w:val="FFFFFF"/>
                <w:sz w:val="20"/>
              </w:rPr>
              <w:t>Priority</w:t>
            </w:r>
          </w:p>
        </w:tc>
        <w:tc>
          <w:tcPr>
            <w:tcW w:w="1280" w:type="dxa"/>
            <w:shd w:val="clear" w:color="auto" w:fill="808080" w:themeFill="background1" w:themeFillShade="80"/>
          </w:tcPr>
          <w:p w14:paraId="39BA2298" w14:textId="77777777" w:rsidR="00C055F8" w:rsidRPr="00E42C54" w:rsidRDefault="00F24962" w:rsidP="00C055F8">
            <w:pPr>
              <w:jc w:val="center"/>
              <w:rPr>
                <w:rFonts w:eastAsia="Calibri"/>
                <w:b/>
                <w:color w:val="FFFFFF"/>
                <w:sz w:val="20"/>
              </w:rPr>
            </w:pPr>
            <w:r>
              <w:rPr>
                <w:rFonts w:eastAsia="Calibri"/>
                <w:b/>
                <w:color w:val="FFFFFF"/>
                <w:sz w:val="20"/>
              </w:rPr>
              <w:t>Target</w:t>
            </w:r>
          </w:p>
        </w:tc>
        <w:tc>
          <w:tcPr>
            <w:tcW w:w="3719" w:type="dxa"/>
            <w:shd w:val="clear" w:color="auto" w:fill="808080" w:themeFill="background1" w:themeFillShade="80"/>
            <w:vAlign w:val="center"/>
          </w:tcPr>
          <w:p w14:paraId="39BA2299" w14:textId="77777777" w:rsidR="00C055F8" w:rsidRPr="00E42C54" w:rsidRDefault="00F24962" w:rsidP="00C055F8">
            <w:pPr>
              <w:jc w:val="center"/>
              <w:rPr>
                <w:rFonts w:eastAsia="Calibri"/>
                <w:b/>
                <w:color w:val="FFFFFF"/>
                <w:sz w:val="20"/>
              </w:rPr>
            </w:pPr>
            <w:r w:rsidRPr="00E42C54">
              <w:rPr>
                <w:rFonts w:eastAsia="Calibri"/>
                <w:b/>
                <w:color w:val="FFFFFF"/>
                <w:sz w:val="20"/>
              </w:rPr>
              <w:t>Reason</w:t>
            </w:r>
          </w:p>
        </w:tc>
      </w:tr>
      <w:tr w:rsidR="00E03946" w14:paraId="39BA229F" w14:textId="77777777" w:rsidTr="00C055F8">
        <w:trPr>
          <w:trHeight w:val="997"/>
        </w:trPr>
        <w:tc>
          <w:tcPr>
            <w:tcW w:w="2580" w:type="dxa"/>
            <w:vAlign w:val="center"/>
          </w:tcPr>
          <w:p w14:paraId="39BA229B" w14:textId="77777777" w:rsidR="00C055F8" w:rsidRPr="00E42C54" w:rsidRDefault="00F24962" w:rsidP="00C055F8">
            <w:pPr>
              <w:ind w:left="22" w:hanging="22"/>
              <w:rPr>
                <w:rFonts w:eastAsia="Calibri"/>
                <w:bCs/>
                <w:szCs w:val="20"/>
              </w:rPr>
            </w:pPr>
            <w:r w:rsidRPr="00E42C54">
              <w:rPr>
                <w:rFonts w:eastAsia="Calibri"/>
                <w:bCs/>
                <w:szCs w:val="20"/>
              </w:rPr>
              <w:t xml:space="preserve">Number of new savers with Unify Credit Union in </w:t>
            </w:r>
            <w:r w:rsidRPr="00E42C54">
              <w:rPr>
                <w:rFonts w:eastAsia="Calibri"/>
                <w:bCs/>
                <w:szCs w:val="20"/>
              </w:rPr>
              <w:t>South Ribble (200, Annually)</w:t>
            </w:r>
          </w:p>
        </w:tc>
        <w:tc>
          <w:tcPr>
            <w:tcW w:w="1814" w:type="dxa"/>
            <w:vAlign w:val="center"/>
          </w:tcPr>
          <w:p w14:paraId="39BA229C" w14:textId="77777777" w:rsidR="00C055F8" w:rsidRPr="00E42C54" w:rsidRDefault="00F24962" w:rsidP="00C055F8">
            <w:pPr>
              <w:jc w:val="center"/>
              <w:rPr>
                <w:rFonts w:eastAsia="Calibri"/>
                <w:b/>
                <w:bCs/>
                <w:color w:val="FFC000"/>
                <w:szCs w:val="20"/>
              </w:rPr>
            </w:pPr>
            <w:r w:rsidRPr="00891D58">
              <w:rPr>
                <w:rFonts w:eastAsia="Calibri"/>
                <w:b/>
                <w:bCs/>
                <w:color w:val="7030A0"/>
                <w:szCs w:val="20"/>
              </w:rPr>
              <w:t>A fair local economy that works for everyone</w:t>
            </w:r>
          </w:p>
        </w:tc>
        <w:tc>
          <w:tcPr>
            <w:tcW w:w="1280" w:type="dxa"/>
            <w:vAlign w:val="center"/>
          </w:tcPr>
          <w:p w14:paraId="39BA229D" w14:textId="77777777" w:rsidR="00C055F8" w:rsidRPr="00E42C54" w:rsidRDefault="00F24962" w:rsidP="00C055F8">
            <w:pPr>
              <w:jc w:val="center"/>
              <w:rPr>
                <w:rFonts w:eastAsia="Calibri"/>
              </w:rPr>
            </w:pPr>
            <w:r>
              <w:rPr>
                <w:rFonts w:eastAsia="Calibri"/>
              </w:rPr>
              <w:t>200 (Reported annually)</w:t>
            </w:r>
          </w:p>
        </w:tc>
        <w:tc>
          <w:tcPr>
            <w:tcW w:w="3719" w:type="dxa"/>
          </w:tcPr>
          <w:p w14:paraId="39BA229E" w14:textId="77777777" w:rsidR="00C055F8" w:rsidRPr="00E42C54" w:rsidRDefault="00F24962" w:rsidP="00C055F8">
            <w:pPr>
              <w:rPr>
                <w:rFonts w:eastAsia="Calibri"/>
                <w:szCs w:val="20"/>
              </w:rPr>
            </w:pPr>
            <w:r>
              <w:rPr>
                <w:rFonts w:eastAsia="Calibri"/>
                <w:szCs w:val="20"/>
              </w:rPr>
              <w:t xml:space="preserve">To measure effectiveness of support for the credit union reflecting take up of saving, promoting financial resilience. </w:t>
            </w:r>
          </w:p>
        </w:tc>
      </w:tr>
      <w:tr w:rsidR="00E03946" w14:paraId="39BA22A4" w14:textId="77777777" w:rsidTr="00A368E8">
        <w:trPr>
          <w:trHeight w:val="1148"/>
        </w:trPr>
        <w:tc>
          <w:tcPr>
            <w:tcW w:w="2580" w:type="dxa"/>
          </w:tcPr>
          <w:p w14:paraId="39BA22A0" w14:textId="77777777" w:rsidR="00C055F8" w:rsidRPr="00E42C54" w:rsidRDefault="00F24962" w:rsidP="00A368E8">
            <w:pPr>
              <w:ind w:left="22" w:hanging="22"/>
              <w:rPr>
                <w:rFonts w:eastAsia="Calibri"/>
                <w:bCs/>
              </w:rPr>
            </w:pPr>
            <w:r w:rsidRPr="00E42C54">
              <w:rPr>
                <w:rFonts w:eastAsia="Calibri"/>
                <w:bCs/>
              </w:rPr>
              <w:t xml:space="preserve">Median earnings by residence </w:t>
            </w:r>
          </w:p>
        </w:tc>
        <w:tc>
          <w:tcPr>
            <w:tcW w:w="1814" w:type="dxa"/>
            <w:vAlign w:val="center"/>
          </w:tcPr>
          <w:p w14:paraId="39BA22A1" w14:textId="77777777" w:rsidR="00C055F8" w:rsidRPr="00E42C54" w:rsidRDefault="00F24962" w:rsidP="00C055F8">
            <w:pPr>
              <w:jc w:val="center"/>
              <w:rPr>
                <w:rFonts w:eastAsia="Calibri"/>
                <w:b/>
                <w:bCs/>
                <w:color w:val="0070C0"/>
              </w:rPr>
            </w:pPr>
            <w:r w:rsidRPr="00891D58">
              <w:rPr>
                <w:rFonts w:eastAsia="Calibri"/>
                <w:b/>
                <w:bCs/>
                <w:color w:val="7030A0"/>
                <w:szCs w:val="20"/>
              </w:rPr>
              <w:t>A fair local economy that works for everyone</w:t>
            </w:r>
          </w:p>
        </w:tc>
        <w:tc>
          <w:tcPr>
            <w:tcW w:w="1280" w:type="dxa"/>
            <w:vAlign w:val="center"/>
          </w:tcPr>
          <w:p w14:paraId="39BA22A2" w14:textId="77777777" w:rsidR="00C055F8" w:rsidRPr="00E42C54" w:rsidRDefault="00F24962" w:rsidP="00C055F8">
            <w:pPr>
              <w:jc w:val="center"/>
              <w:rPr>
                <w:rFonts w:eastAsia="Calibri"/>
              </w:rPr>
            </w:pPr>
            <w:r>
              <w:rPr>
                <w:rFonts w:eastAsia="Calibri"/>
                <w:bCs/>
              </w:rPr>
              <w:t>B</w:t>
            </w:r>
            <w:r w:rsidRPr="00E42C54">
              <w:rPr>
                <w:rFonts w:eastAsia="Calibri"/>
                <w:bCs/>
              </w:rPr>
              <w:t>etter than the</w:t>
            </w:r>
            <w:r>
              <w:rPr>
                <w:rFonts w:eastAsia="Calibri"/>
                <w:bCs/>
              </w:rPr>
              <w:t xml:space="preserve"> national</w:t>
            </w:r>
            <w:r w:rsidRPr="00E42C54">
              <w:rPr>
                <w:rFonts w:eastAsia="Calibri"/>
                <w:bCs/>
              </w:rPr>
              <w:t xml:space="preserve"> average. (Annually)</w:t>
            </w:r>
          </w:p>
        </w:tc>
        <w:tc>
          <w:tcPr>
            <w:tcW w:w="3719" w:type="dxa"/>
          </w:tcPr>
          <w:p w14:paraId="39BA22A3" w14:textId="77777777" w:rsidR="00C055F8" w:rsidRPr="00E42C54" w:rsidRDefault="00F24962" w:rsidP="00C055F8">
            <w:pPr>
              <w:rPr>
                <w:rFonts w:eastAsia="Calibri"/>
              </w:rPr>
            </w:pPr>
            <w:r>
              <w:rPr>
                <w:rFonts w:eastAsia="Calibri"/>
              </w:rPr>
              <w:t>To monitor the average earnings for people who live in South Ribble as part of the levelling up agenda nationally and to track change.</w:t>
            </w:r>
          </w:p>
        </w:tc>
      </w:tr>
      <w:tr w:rsidR="00E03946" w14:paraId="39BA22A9" w14:textId="77777777" w:rsidTr="005B15E3">
        <w:trPr>
          <w:trHeight w:val="603"/>
        </w:trPr>
        <w:tc>
          <w:tcPr>
            <w:tcW w:w="2580" w:type="dxa"/>
            <w:vAlign w:val="center"/>
          </w:tcPr>
          <w:p w14:paraId="39BA22A5" w14:textId="77777777" w:rsidR="00C055F8" w:rsidRPr="00E42C54" w:rsidRDefault="00F24962" w:rsidP="00C055F8">
            <w:pPr>
              <w:rPr>
                <w:rFonts w:eastAsia="Calibri"/>
              </w:rPr>
            </w:pPr>
            <w:r w:rsidRPr="00C840F3">
              <w:rPr>
                <w:rFonts w:eastAsia="Calibri"/>
                <w:bCs/>
              </w:rPr>
              <w:t>The number of claimants as a proportion of resident population of area aged 16-64</w:t>
            </w:r>
          </w:p>
        </w:tc>
        <w:tc>
          <w:tcPr>
            <w:tcW w:w="1814" w:type="dxa"/>
            <w:vAlign w:val="center"/>
          </w:tcPr>
          <w:p w14:paraId="39BA22A6" w14:textId="77777777" w:rsidR="00C055F8" w:rsidRPr="00E42C54" w:rsidRDefault="00F24962" w:rsidP="00C055F8">
            <w:pPr>
              <w:jc w:val="center"/>
              <w:rPr>
                <w:rFonts w:eastAsia="Calibri"/>
                <w:b/>
                <w:bCs/>
                <w:color w:val="0070C0"/>
              </w:rPr>
            </w:pPr>
            <w:r w:rsidRPr="00891D58">
              <w:rPr>
                <w:rFonts w:eastAsia="Calibri"/>
                <w:b/>
                <w:bCs/>
                <w:color w:val="FF0000"/>
              </w:rPr>
              <w:t>Thriving Communities</w:t>
            </w:r>
          </w:p>
        </w:tc>
        <w:tc>
          <w:tcPr>
            <w:tcW w:w="1280" w:type="dxa"/>
            <w:vAlign w:val="center"/>
          </w:tcPr>
          <w:p w14:paraId="39BA22A7" w14:textId="77777777" w:rsidR="00C055F8" w:rsidRPr="00E42C54" w:rsidRDefault="00F24962" w:rsidP="00C055F8">
            <w:pPr>
              <w:jc w:val="center"/>
              <w:rPr>
                <w:rFonts w:eastAsia="Calibri"/>
              </w:rPr>
            </w:pPr>
            <w:r>
              <w:rPr>
                <w:rFonts w:eastAsia="Calibri"/>
                <w:bCs/>
              </w:rPr>
              <w:t>B</w:t>
            </w:r>
            <w:r w:rsidRPr="00E42C54">
              <w:rPr>
                <w:rFonts w:eastAsia="Calibri"/>
                <w:bCs/>
              </w:rPr>
              <w:t>etter than North West average (Quarterly)</w:t>
            </w:r>
          </w:p>
        </w:tc>
        <w:tc>
          <w:tcPr>
            <w:tcW w:w="3719" w:type="dxa"/>
          </w:tcPr>
          <w:p w14:paraId="39BA22A8" w14:textId="77777777" w:rsidR="00C055F8" w:rsidRPr="00E42C54" w:rsidRDefault="00F24962" w:rsidP="00C055F8">
            <w:pPr>
              <w:rPr>
                <w:rFonts w:eastAsia="Calibri"/>
              </w:rPr>
            </w:pPr>
            <w:r>
              <w:rPr>
                <w:rFonts w:eastAsia="Calibri"/>
              </w:rPr>
              <w:t xml:space="preserve">To measure the impact of changes in the economy and monitor the outcomes for residents in South Ribble and respond as required. </w:t>
            </w:r>
          </w:p>
        </w:tc>
      </w:tr>
      <w:tr w:rsidR="00E03946" w14:paraId="39BA22AF" w14:textId="77777777" w:rsidTr="00C055F8">
        <w:trPr>
          <w:trHeight w:val="1148"/>
        </w:trPr>
        <w:tc>
          <w:tcPr>
            <w:tcW w:w="2580" w:type="dxa"/>
            <w:vAlign w:val="center"/>
          </w:tcPr>
          <w:p w14:paraId="39BA22AA" w14:textId="77777777" w:rsidR="00C055F8" w:rsidRPr="00E42C54" w:rsidRDefault="00F24962" w:rsidP="00C055F8">
            <w:pPr>
              <w:rPr>
                <w:rFonts w:eastAsia="Calibri"/>
                <w:bCs/>
              </w:rPr>
            </w:pPr>
            <w:r w:rsidRPr="00C840F3">
              <w:rPr>
                <w:rFonts w:eastAsia="Calibri"/>
                <w:bCs/>
              </w:rPr>
              <w:t xml:space="preserve">The number of individuals who complete a health check (screening) by a member of the </w:t>
            </w:r>
            <w:r>
              <w:rPr>
                <w:rFonts w:eastAsia="Calibri"/>
                <w:bCs/>
              </w:rPr>
              <w:t>62</w:t>
            </w:r>
          </w:p>
        </w:tc>
        <w:tc>
          <w:tcPr>
            <w:tcW w:w="1814" w:type="dxa"/>
            <w:vAlign w:val="center"/>
          </w:tcPr>
          <w:p w14:paraId="39BA22AB" w14:textId="77777777" w:rsidR="00C055F8" w:rsidRPr="00891D58" w:rsidRDefault="00F24962" w:rsidP="00C055F8">
            <w:pPr>
              <w:jc w:val="center"/>
              <w:rPr>
                <w:rFonts w:eastAsia="Calibri"/>
                <w:b/>
                <w:bCs/>
                <w:color w:val="FF0000"/>
              </w:rPr>
            </w:pPr>
            <w:r w:rsidRPr="005C2FB1">
              <w:rPr>
                <w:b/>
                <w:bCs/>
                <w:color w:val="9BBB59" w:themeColor="accent3"/>
              </w:rPr>
              <w:t>Good homes, green spaces, healthy places</w:t>
            </w:r>
          </w:p>
        </w:tc>
        <w:tc>
          <w:tcPr>
            <w:tcW w:w="1280" w:type="dxa"/>
            <w:vAlign w:val="center"/>
          </w:tcPr>
          <w:p w14:paraId="39BA22AC" w14:textId="77777777" w:rsidR="00C055F8" w:rsidRDefault="00F24962" w:rsidP="00C055F8">
            <w:pPr>
              <w:jc w:val="center"/>
              <w:rPr>
                <w:rFonts w:eastAsia="Calibri"/>
                <w:bCs/>
              </w:rPr>
            </w:pPr>
            <w:r>
              <w:rPr>
                <w:rFonts w:eastAsia="Calibri"/>
                <w:bCs/>
              </w:rPr>
              <w:t>110</w:t>
            </w:r>
          </w:p>
          <w:p w14:paraId="39BA22AD" w14:textId="77777777" w:rsidR="00C055F8" w:rsidRDefault="00F24962" w:rsidP="00C055F8">
            <w:pPr>
              <w:jc w:val="center"/>
              <w:rPr>
                <w:rFonts w:eastAsia="Calibri"/>
                <w:bCs/>
              </w:rPr>
            </w:pPr>
            <w:r>
              <w:rPr>
                <w:rFonts w:eastAsia="Calibri"/>
                <w:bCs/>
              </w:rPr>
              <w:t>(Annually)</w:t>
            </w:r>
          </w:p>
        </w:tc>
        <w:tc>
          <w:tcPr>
            <w:tcW w:w="3719" w:type="dxa"/>
          </w:tcPr>
          <w:p w14:paraId="39BA22AE" w14:textId="77777777" w:rsidR="00C055F8" w:rsidRDefault="00F24962" w:rsidP="00C055F8">
            <w:pPr>
              <w:rPr>
                <w:rFonts w:eastAsia="Calibri"/>
              </w:rPr>
            </w:pPr>
            <w:r>
              <w:rPr>
                <w:rFonts w:eastAsia="Calibri"/>
              </w:rPr>
              <w:t>As part of the council’s work on the Business Health Matters programme, the number of health screens provided by</w:t>
            </w:r>
            <w:r>
              <w:rPr>
                <w:rFonts w:eastAsia="Calibri"/>
              </w:rPr>
              <w:t xml:space="preserve"> the council will be monitored. </w:t>
            </w:r>
          </w:p>
        </w:tc>
      </w:tr>
    </w:tbl>
    <w:p w14:paraId="39BA22B0" w14:textId="77777777" w:rsidR="00C055F8" w:rsidRDefault="00F24962" w:rsidP="00C055F8">
      <w:pPr>
        <w:pStyle w:val="ListParagraph"/>
        <w:ind w:left="360"/>
        <w:rPr>
          <w:rFonts w:cstheme="minorHAnsi"/>
          <w:bCs/>
          <w:iCs/>
        </w:rPr>
      </w:pPr>
    </w:p>
    <w:p w14:paraId="39BA22B1" w14:textId="77777777" w:rsidR="00C055F8" w:rsidRDefault="00F24962" w:rsidP="00C055F8">
      <w:pPr>
        <w:pStyle w:val="ListParagraph"/>
        <w:numPr>
          <w:ilvl w:val="0"/>
          <w:numId w:val="8"/>
        </w:numPr>
        <w:rPr>
          <w:rFonts w:cstheme="minorHAnsi"/>
          <w:bCs/>
          <w:iCs/>
        </w:rPr>
      </w:pPr>
      <w:r>
        <w:rPr>
          <w:rFonts w:cstheme="minorHAnsi"/>
          <w:bCs/>
          <w:iCs/>
        </w:rPr>
        <w:t>Five</w:t>
      </w:r>
      <w:r w:rsidRPr="00B44183">
        <w:rPr>
          <w:rFonts w:cstheme="minorHAnsi"/>
          <w:bCs/>
          <w:iCs/>
        </w:rPr>
        <w:t xml:space="preserve"> indicators have </w:t>
      </w:r>
      <w:r>
        <w:rPr>
          <w:rFonts w:cstheme="minorHAnsi"/>
          <w:bCs/>
          <w:iCs/>
        </w:rPr>
        <w:t>been</w:t>
      </w:r>
      <w:r w:rsidRPr="00B44183">
        <w:rPr>
          <w:rFonts w:cstheme="minorHAnsi"/>
          <w:bCs/>
          <w:iCs/>
        </w:rPr>
        <w:t xml:space="preserve"> amended to reflect service changes or better align to future priorities. This includes the following:</w:t>
      </w:r>
    </w:p>
    <w:tbl>
      <w:tblPr>
        <w:tblStyle w:val="TableGrid4"/>
        <w:tblW w:w="9393" w:type="dxa"/>
        <w:tblInd w:w="421" w:type="dxa"/>
        <w:tblLook w:val="04A0" w:firstRow="1" w:lastRow="0" w:firstColumn="1" w:lastColumn="0" w:noHBand="0" w:noVBand="1"/>
      </w:tblPr>
      <w:tblGrid>
        <w:gridCol w:w="2580"/>
        <w:gridCol w:w="1814"/>
        <w:gridCol w:w="1280"/>
        <w:gridCol w:w="3719"/>
      </w:tblGrid>
      <w:tr w:rsidR="00E03946" w14:paraId="39BA22B6" w14:textId="77777777" w:rsidTr="00C055F8">
        <w:trPr>
          <w:tblHeader/>
        </w:trPr>
        <w:tc>
          <w:tcPr>
            <w:tcW w:w="2580" w:type="dxa"/>
            <w:shd w:val="clear" w:color="auto" w:fill="808080" w:themeFill="background1" w:themeFillShade="80"/>
            <w:vAlign w:val="center"/>
          </w:tcPr>
          <w:p w14:paraId="39BA22B2" w14:textId="77777777" w:rsidR="00C055F8" w:rsidRPr="00E42C54" w:rsidRDefault="00F24962" w:rsidP="00C055F8">
            <w:pPr>
              <w:jc w:val="center"/>
              <w:rPr>
                <w:rFonts w:eastAsia="Calibri"/>
                <w:b/>
                <w:color w:val="FFFFFF"/>
                <w:sz w:val="20"/>
              </w:rPr>
            </w:pPr>
            <w:r w:rsidRPr="00E42C54">
              <w:rPr>
                <w:rFonts w:eastAsia="Calibri"/>
                <w:b/>
                <w:color w:val="FFFFFF"/>
                <w:sz w:val="20"/>
              </w:rPr>
              <w:t>Indicator</w:t>
            </w:r>
          </w:p>
        </w:tc>
        <w:tc>
          <w:tcPr>
            <w:tcW w:w="1814" w:type="dxa"/>
            <w:shd w:val="clear" w:color="auto" w:fill="808080" w:themeFill="background1" w:themeFillShade="80"/>
          </w:tcPr>
          <w:p w14:paraId="39BA22B3" w14:textId="77777777" w:rsidR="00C055F8" w:rsidRPr="00E42C54" w:rsidRDefault="00F24962" w:rsidP="00C055F8">
            <w:pPr>
              <w:jc w:val="center"/>
              <w:rPr>
                <w:rFonts w:eastAsia="Calibri"/>
                <w:b/>
                <w:color w:val="FFFFFF"/>
                <w:sz w:val="20"/>
              </w:rPr>
            </w:pPr>
            <w:r w:rsidRPr="00E42C54">
              <w:rPr>
                <w:rFonts w:eastAsia="Calibri"/>
                <w:b/>
                <w:color w:val="FFFFFF"/>
                <w:sz w:val="20"/>
              </w:rPr>
              <w:t>Priority</w:t>
            </w:r>
          </w:p>
        </w:tc>
        <w:tc>
          <w:tcPr>
            <w:tcW w:w="1280" w:type="dxa"/>
            <w:shd w:val="clear" w:color="auto" w:fill="808080" w:themeFill="background1" w:themeFillShade="80"/>
          </w:tcPr>
          <w:p w14:paraId="39BA22B4" w14:textId="77777777" w:rsidR="00C055F8" w:rsidRPr="00E42C54" w:rsidRDefault="00F24962" w:rsidP="00C055F8">
            <w:pPr>
              <w:jc w:val="center"/>
              <w:rPr>
                <w:rFonts w:eastAsia="Calibri"/>
                <w:b/>
                <w:color w:val="FFFFFF"/>
                <w:sz w:val="20"/>
              </w:rPr>
            </w:pPr>
            <w:r>
              <w:rPr>
                <w:rFonts w:eastAsia="Calibri"/>
                <w:b/>
                <w:color w:val="FFFFFF"/>
                <w:sz w:val="20"/>
              </w:rPr>
              <w:t>Target</w:t>
            </w:r>
          </w:p>
        </w:tc>
        <w:tc>
          <w:tcPr>
            <w:tcW w:w="3719" w:type="dxa"/>
            <w:shd w:val="clear" w:color="auto" w:fill="808080" w:themeFill="background1" w:themeFillShade="80"/>
            <w:vAlign w:val="center"/>
          </w:tcPr>
          <w:p w14:paraId="39BA22B5" w14:textId="77777777" w:rsidR="00C055F8" w:rsidRPr="00E42C54" w:rsidRDefault="00F24962" w:rsidP="00C055F8">
            <w:pPr>
              <w:jc w:val="center"/>
              <w:rPr>
                <w:rFonts w:eastAsia="Calibri"/>
                <w:b/>
                <w:color w:val="FFFFFF"/>
                <w:sz w:val="20"/>
              </w:rPr>
            </w:pPr>
            <w:r w:rsidRPr="00E42C54">
              <w:rPr>
                <w:rFonts w:eastAsia="Calibri"/>
                <w:b/>
                <w:color w:val="FFFFFF"/>
                <w:sz w:val="20"/>
              </w:rPr>
              <w:t>Reason</w:t>
            </w:r>
          </w:p>
        </w:tc>
      </w:tr>
      <w:tr w:rsidR="00E03946" w14:paraId="39BA22BB" w14:textId="77777777" w:rsidTr="00C055F8">
        <w:trPr>
          <w:trHeight w:val="887"/>
        </w:trPr>
        <w:tc>
          <w:tcPr>
            <w:tcW w:w="2580" w:type="dxa"/>
            <w:tcBorders>
              <w:top w:val="single" w:sz="4" w:space="0" w:color="auto"/>
              <w:left w:val="single" w:sz="4" w:space="0" w:color="auto"/>
              <w:bottom w:val="single" w:sz="4" w:space="0" w:color="auto"/>
              <w:right w:val="single" w:sz="4" w:space="0" w:color="auto"/>
            </w:tcBorders>
          </w:tcPr>
          <w:p w14:paraId="39BA22B7" w14:textId="77777777" w:rsidR="00C055F8" w:rsidRPr="005C2FB1" w:rsidRDefault="00F24962" w:rsidP="00C055F8">
            <w:pPr>
              <w:pStyle w:val="NoSpacing"/>
            </w:pPr>
            <w:r>
              <w:t xml:space="preserve">Number of residents participating in activities delivered by the Council </w:t>
            </w:r>
          </w:p>
        </w:tc>
        <w:tc>
          <w:tcPr>
            <w:tcW w:w="1814" w:type="dxa"/>
          </w:tcPr>
          <w:p w14:paraId="39BA22B8" w14:textId="77777777" w:rsidR="00C055F8" w:rsidRPr="00E42C54" w:rsidRDefault="00F24962" w:rsidP="00C055F8">
            <w:pPr>
              <w:jc w:val="center"/>
              <w:rPr>
                <w:rFonts w:eastAsia="Calibri"/>
                <w:b/>
                <w:bCs/>
                <w:color w:val="FFC000"/>
                <w:szCs w:val="20"/>
              </w:rPr>
            </w:pPr>
            <w:r w:rsidRPr="00891D58">
              <w:rPr>
                <w:rFonts w:eastAsia="Calibri"/>
                <w:b/>
                <w:bCs/>
                <w:color w:val="FF0000"/>
              </w:rPr>
              <w:t>Thriving Communities</w:t>
            </w:r>
          </w:p>
        </w:tc>
        <w:tc>
          <w:tcPr>
            <w:tcW w:w="1280" w:type="dxa"/>
          </w:tcPr>
          <w:p w14:paraId="39BA22B9" w14:textId="77777777" w:rsidR="00C055F8" w:rsidRPr="00E42C54" w:rsidRDefault="00F24962" w:rsidP="00C055F8">
            <w:pPr>
              <w:pStyle w:val="NoSpacing"/>
              <w:jc w:val="center"/>
              <w:rPr>
                <w:rFonts w:eastAsia="Calibri"/>
              </w:rPr>
            </w:pPr>
            <w:r>
              <w:t>400 (Annually)</w:t>
            </w:r>
          </w:p>
        </w:tc>
        <w:tc>
          <w:tcPr>
            <w:tcW w:w="3719" w:type="dxa"/>
          </w:tcPr>
          <w:p w14:paraId="39BA22BA" w14:textId="77777777" w:rsidR="00C055F8" w:rsidRPr="00E42C54" w:rsidRDefault="00F24962" w:rsidP="00C055F8">
            <w:pPr>
              <w:rPr>
                <w:rFonts w:eastAsia="Calibri"/>
                <w:szCs w:val="20"/>
              </w:rPr>
            </w:pPr>
            <w:r>
              <w:rPr>
                <w:rFonts w:eastAsia="Calibri"/>
                <w:szCs w:val="20"/>
              </w:rPr>
              <w:t>This indicator has been extended from the opportunities created by the council through the communities team. An initial target is set to further b</w:t>
            </w:r>
            <w:r>
              <w:rPr>
                <w:rFonts w:eastAsia="Calibri"/>
                <w:szCs w:val="20"/>
              </w:rPr>
              <w:t xml:space="preserve">aseline future years. </w:t>
            </w:r>
          </w:p>
        </w:tc>
      </w:tr>
      <w:tr w:rsidR="00E03946" w14:paraId="39BA22C2" w14:textId="77777777" w:rsidTr="005B15E3">
        <w:trPr>
          <w:trHeight w:val="461"/>
        </w:trPr>
        <w:tc>
          <w:tcPr>
            <w:tcW w:w="2580" w:type="dxa"/>
            <w:tcBorders>
              <w:top w:val="single" w:sz="4" w:space="0" w:color="auto"/>
              <w:left w:val="single" w:sz="4" w:space="0" w:color="auto"/>
              <w:bottom w:val="single" w:sz="4" w:space="0" w:color="auto"/>
              <w:right w:val="single" w:sz="4" w:space="0" w:color="auto"/>
            </w:tcBorders>
          </w:tcPr>
          <w:p w14:paraId="39BA22BC" w14:textId="77777777" w:rsidR="00C055F8" w:rsidRPr="0019422A" w:rsidRDefault="00F24962" w:rsidP="00C055F8">
            <w:pPr>
              <w:rPr>
                <w:rFonts w:eastAsia="Calibri"/>
              </w:rPr>
            </w:pPr>
            <w:r w:rsidRPr="0019422A">
              <w:rPr>
                <w:rFonts w:eastAsia="Calibri"/>
              </w:rPr>
              <w:t xml:space="preserve">No. of meals provided to school age children through holiday hunger offer </w:t>
            </w:r>
          </w:p>
          <w:p w14:paraId="39BA22BD" w14:textId="77777777" w:rsidR="00C055F8" w:rsidRDefault="00F24962" w:rsidP="00C055F8">
            <w:pPr>
              <w:pStyle w:val="NoSpacing"/>
            </w:pPr>
          </w:p>
        </w:tc>
        <w:tc>
          <w:tcPr>
            <w:tcW w:w="1814" w:type="dxa"/>
          </w:tcPr>
          <w:p w14:paraId="39BA22BE" w14:textId="77777777" w:rsidR="00C055F8" w:rsidRPr="00891D58" w:rsidRDefault="00F24962" w:rsidP="00C055F8">
            <w:pPr>
              <w:jc w:val="center"/>
              <w:rPr>
                <w:rFonts w:eastAsia="Calibri"/>
                <w:b/>
                <w:bCs/>
                <w:color w:val="FF0000"/>
              </w:rPr>
            </w:pPr>
            <w:r w:rsidRPr="00891D58">
              <w:rPr>
                <w:rFonts w:eastAsia="Calibri"/>
                <w:b/>
                <w:bCs/>
                <w:color w:val="FF0000"/>
              </w:rPr>
              <w:t>Thriving Communities</w:t>
            </w:r>
          </w:p>
        </w:tc>
        <w:tc>
          <w:tcPr>
            <w:tcW w:w="1280" w:type="dxa"/>
          </w:tcPr>
          <w:p w14:paraId="39BA22BF" w14:textId="77777777" w:rsidR="00C055F8" w:rsidRDefault="00F24962" w:rsidP="00C055F8">
            <w:pPr>
              <w:jc w:val="center"/>
              <w:rPr>
                <w:rFonts w:eastAsia="Calibri"/>
                <w:bCs/>
              </w:rPr>
            </w:pPr>
            <w:r>
              <w:rPr>
                <w:rFonts w:eastAsia="Calibri"/>
                <w:bCs/>
              </w:rPr>
              <w:t>No Target</w:t>
            </w:r>
          </w:p>
          <w:p w14:paraId="39BA22C0" w14:textId="77777777" w:rsidR="00C055F8" w:rsidRDefault="00F24962" w:rsidP="00C055F8">
            <w:pPr>
              <w:pStyle w:val="NoSpacing"/>
              <w:jc w:val="center"/>
            </w:pPr>
            <w:r w:rsidRPr="005C2FB1">
              <w:rPr>
                <w:rFonts w:eastAsia="Calibri"/>
                <w:bCs/>
              </w:rPr>
              <w:t>(</w:t>
            </w:r>
            <w:r>
              <w:rPr>
                <w:rFonts w:eastAsia="Calibri"/>
                <w:bCs/>
              </w:rPr>
              <w:t>Q</w:t>
            </w:r>
            <w:r w:rsidRPr="005C2FB1">
              <w:rPr>
                <w:rFonts w:eastAsia="Calibri"/>
                <w:bCs/>
              </w:rPr>
              <w:t>uarterly)</w:t>
            </w:r>
          </w:p>
        </w:tc>
        <w:tc>
          <w:tcPr>
            <w:tcW w:w="3719" w:type="dxa"/>
          </w:tcPr>
          <w:p w14:paraId="39BA22C1" w14:textId="77777777" w:rsidR="00C055F8" w:rsidRDefault="00F24962" w:rsidP="00C055F8">
            <w:pPr>
              <w:rPr>
                <w:rFonts w:eastAsia="Calibri"/>
                <w:szCs w:val="20"/>
              </w:rPr>
            </w:pPr>
            <w:r w:rsidRPr="003B194A">
              <w:rPr>
                <w:rFonts w:eastAsia="Calibri"/>
                <w:szCs w:val="20"/>
              </w:rPr>
              <w:t xml:space="preserve">This indicator has been amended to reflect that it </w:t>
            </w:r>
            <w:r>
              <w:rPr>
                <w:rFonts w:eastAsia="Calibri"/>
                <w:szCs w:val="20"/>
              </w:rPr>
              <w:t>will</w:t>
            </w:r>
            <w:r w:rsidRPr="003B194A">
              <w:rPr>
                <w:rFonts w:eastAsia="Calibri"/>
                <w:szCs w:val="20"/>
              </w:rPr>
              <w:t xml:space="preserve"> measure demand on </w:t>
            </w:r>
            <w:r>
              <w:rPr>
                <w:rFonts w:eastAsia="Calibri"/>
                <w:szCs w:val="20"/>
              </w:rPr>
              <w:t xml:space="preserve">holiday hunger. </w:t>
            </w:r>
            <w:r w:rsidRPr="003B194A">
              <w:rPr>
                <w:rFonts w:eastAsia="Calibri"/>
                <w:szCs w:val="20"/>
              </w:rPr>
              <w:t xml:space="preserve">There is no </w:t>
            </w:r>
            <w:r w:rsidRPr="003B194A">
              <w:rPr>
                <w:rFonts w:eastAsia="Calibri"/>
                <w:szCs w:val="20"/>
              </w:rPr>
              <w:t>target but will be reported quarterly to indicate the demand and track trends.</w:t>
            </w:r>
          </w:p>
        </w:tc>
      </w:tr>
      <w:tr w:rsidR="00E03946" w14:paraId="39BA22C7" w14:textId="77777777" w:rsidTr="00C055F8">
        <w:trPr>
          <w:trHeight w:val="997"/>
        </w:trPr>
        <w:tc>
          <w:tcPr>
            <w:tcW w:w="2580" w:type="dxa"/>
            <w:tcBorders>
              <w:top w:val="single" w:sz="4" w:space="0" w:color="auto"/>
              <w:left w:val="single" w:sz="4" w:space="0" w:color="auto"/>
              <w:bottom w:val="single" w:sz="4" w:space="0" w:color="auto"/>
              <w:right w:val="single" w:sz="4" w:space="0" w:color="auto"/>
            </w:tcBorders>
          </w:tcPr>
          <w:p w14:paraId="39BA22C3" w14:textId="77777777" w:rsidR="00C055F8" w:rsidRPr="0019422A" w:rsidRDefault="00F24962" w:rsidP="00C055F8">
            <w:pPr>
              <w:rPr>
                <w:rFonts w:eastAsia="Calibri"/>
              </w:rPr>
            </w:pPr>
            <w:r w:rsidRPr="006A0871">
              <w:rPr>
                <w:rFonts w:eastAsia="Calibri"/>
              </w:rPr>
              <w:t xml:space="preserve">Number of people who have successfully completed basic digital skills training </w:t>
            </w:r>
          </w:p>
        </w:tc>
        <w:tc>
          <w:tcPr>
            <w:tcW w:w="1814" w:type="dxa"/>
          </w:tcPr>
          <w:p w14:paraId="39BA22C4" w14:textId="77777777" w:rsidR="00C055F8" w:rsidRPr="00891D58" w:rsidRDefault="00F24962" w:rsidP="00C055F8">
            <w:pPr>
              <w:jc w:val="center"/>
              <w:rPr>
                <w:rFonts w:eastAsia="Calibri"/>
                <w:b/>
                <w:bCs/>
                <w:color w:val="FF0000"/>
              </w:rPr>
            </w:pPr>
            <w:r w:rsidRPr="00891D58">
              <w:rPr>
                <w:rFonts w:eastAsia="Calibri"/>
                <w:b/>
                <w:bCs/>
                <w:color w:val="FF0000"/>
              </w:rPr>
              <w:t>Thriving Communities</w:t>
            </w:r>
          </w:p>
        </w:tc>
        <w:tc>
          <w:tcPr>
            <w:tcW w:w="1280" w:type="dxa"/>
          </w:tcPr>
          <w:p w14:paraId="39BA22C5" w14:textId="77777777" w:rsidR="00C055F8" w:rsidRDefault="00F24962" w:rsidP="00C055F8">
            <w:pPr>
              <w:jc w:val="center"/>
              <w:rPr>
                <w:rFonts w:eastAsia="Calibri"/>
                <w:bCs/>
              </w:rPr>
            </w:pPr>
            <w:r w:rsidRPr="006A0871">
              <w:rPr>
                <w:rFonts w:eastAsia="Calibri"/>
              </w:rPr>
              <w:t>(300, Quarterly)</w:t>
            </w:r>
          </w:p>
        </w:tc>
        <w:tc>
          <w:tcPr>
            <w:tcW w:w="3719" w:type="dxa"/>
          </w:tcPr>
          <w:p w14:paraId="39BA22C6" w14:textId="77777777" w:rsidR="00C055F8" w:rsidRPr="003B194A" w:rsidRDefault="00F24962" w:rsidP="00C055F8">
            <w:pPr>
              <w:rPr>
                <w:rFonts w:eastAsia="Calibri"/>
                <w:szCs w:val="20"/>
              </w:rPr>
            </w:pPr>
            <w:r>
              <w:rPr>
                <w:rFonts w:eastAsia="Calibri"/>
                <w:szCs w:val="20"/>
              </w:rPr>
              <w:t xml:space="preserve">A target has been set to reflect overall objectives as part of improving digital inclusion.  </w:t>
            </w:r>
          </w:p>
        </w:tc>
      </w:tr>
      <w:tr w:rsidR="00E03946" w14:paraId="39BA22CC" w14:textId="77777777" w:rsidTr="00C055F8">
        <w:trPr>
          <w:trHeight w:val="997"/>
        </w:trPr>
        <w:tc>
          <w:tcPr>
            <w:tcW w:w="2580" w:type="dxa"/>
            <w:tcBorders>
              <w:top w:val="single" w:sz="4" w:space="0" w:color="auto"/>
              <w:left w:val="single" w:sz="4" w:space="0" w:color="auto"/>
              <w:bottom w:val="single" w:sz="4" w:space="0" w:color="auto"/>
              <w:right w:val="single" w:sz="4" w:space="0" w:color="auto"/>
            </w:tcBorders>
          </w:tcPr>
          <w:p w14:paraId="39BA22C8" w14:textId="77777777" w:rsidR="00C055F8" w:rsidRPr="0019422A" w:rsidRDefault="00F24962" w:rsidP="00C055F8">
            <w:pPr>
              <w:rPr>
                <w:rFonts w:eastAsia="Calibri"/>
              </w:rPr>
            </w:pPr>
            <w:r w:rsidRPr="003B194A">
              <w:rPr>
                <w:rFonts w:eastAsia="Calibri"/>
              </w:rPr>
              <w:t xml:space="preserve">Median workplace earnings in the borough will be better than the </w:t>
            </w:r>
            <w:r>
              <w:rPr>
                <w:rFonts w:eastAsia="Calibri"/>
              </w:rPr>
              <w:t xml:space="preserve">national </w:t>
            </w:r>
            <w:r w:rsidRPr="003B194A">
              <w:rPr>
                <w:rFonts w:eastAsia="Calibri"/>
              </w:rPr>
              <w:t xml:space="preserve">average </w:t>
            </w:r>
          </w:p>
        </w:tc>
        <w:tc>
          <w:tcPr>
            <w:tcW w:w="1814" w:type="dxa"/>
          </w:tcPr>
          <w:p w14:paraId="39BA22C9" w14:textId="77777777" w:rsidR="00C055F8" w:rsidRPr="00891D58" w:rsidRDefault="00F24962" w:rsidP="00C055F8">
            <w:pPr>
              <w:jc w:val="center"/>
              <w:rPr>
                <w:rFonts w:eastAsia="Calibri"/>
                <w:b/>
                <w:bCs/>
                <w:color w:val="FF0000"/>
              </w:rPr>
            </w:pPr>
            <w:r w:rsidRPr="00891D58">
              <w:rPr>
                <w:rFonts w:eastAsia="Calibri"/>
                <w:b/>
                <w:bCs/>
                <w:color w:val="7030A0"/>
                <w:szCs w:val="20"/>
              </w:rPr>
              <w:t>A fair local economy that works for everyone</w:t>
            </w:r>
          </w:p>
        </w:tc>
        <w:tc>
          <w:tcPr>
            <w:tcW w:w="1280" w:type="dxa"/>
          </w:tcPr>
          <w:p w14:paraId="39BA22CA" w14:textId="77777777" w:rsidR="00C055F8" w:rsidRDefault="00F24962" w:rsidP="00C055F8">
            <w:pPr>
              <w:jc w:val="center"/>
              <w:rPr>
                <w:rFonts w:eastAsia="Calibri"/>
                <w:bCs/>
              </w:rPr>
            </w:pPr>
            <w:r>
              <w:rPr>
                <w:rFonts w:eastAsia="Calibri"/>
              </w:rPr>
              <w:t xml:space="preserve">Better than the national average </w:t>
            </w:r>
            <w:r w:rsidRPr="003B194A">
              <w:rPr>
                <w:rFonts w:eastAsia="Calibri"/>
              </w:rPr>
              <w:t>(Annually)</w:t>
            </w:r>
          </w:p>
        </w:tc>
        <w:tc>
          <w:tcPr>
            <w:tcW w:w="3719" w:type="dxa"/>
          </w:tcPr>
          <w:p w14:paraId="39BA22CB" w14:textId="77777777" w:rsidR="00C055F8" w:rsidRPr="003B194A" w:rsidRDefault="00F24962" w:rsidP="00C055F8">
            <w:pPr>
              <w:rPr>
                <w:rFonts w:eastAsia="Calibri"/>
                <w:szCs w:val="20"/>
              </w:rPr>
            </w:pPr>
            <w:r>
              <w:rPr>
                <w:rFonts w:eastAsia="Calibri"/>
                <w:szCs w:val="20"/>
              </w:rPr>
              <w:t xml:space="preserve">This indicator has been amended to compare against the national average, rather than the north west average. This is to monitor South Ribble’s position in relation to the levelling up agenda nationally. </w:t>
            </w:r>
          </w:p>
        </w:tc>
      </w:tr>
      <w:tr w:rsidR="00E03946" w14:paraId="39BA22D2" w14:textId="77777777" w:rsidTr="00C055F8">
        <w:trPr>
          <w:trHeight w:val="1148"/>
        </w:trPr>
        <w:tc>
          <w:tcPr>
            <w:tcW w:w="2580" w:type="dxa"/>
            <w:tcBorders>
              <w:top w:val="single" w:sz="4" w:space="0" w:color="auto"/>
              <w:left w:val="single" w:sz="4" w:space="0" w:color="auto"/>
              <w:bottom w:val="single" w:sz="4" w:space="0" w:color="auto"/>
              <w:right w:val="single" w:sz="4" w:space="0" w:color="auto"/>
            </w:tcBorders>
          </w:tcPr>
          <w:p w14:paraId="39BA22CD" w14:textId="77777777" w:rsidR="00C055F8" w:rsidRPr="005C2FB1" w:rsidRDefault="00F24962" w:rsidP="00C055F8">
            <w:pPr>
              <w:pStyle w:val="NoSpacing"/>
            </w:pPr>
            <w:r>
              <w:lastRenderedPageBreak/>
              <w:t xml:space="preserve">The number of wellbeing sessions delivered by the Active Health team </w:t>
            </w:r>
          </w:p>
        </w:tc>
        <w:tc>
          <w:tcPr>
            <w:tcW w:w="1814" w:type="dxa"/>
          </w:tcPr>
          <w:p w14:paraId="39BA22CE" w14:textId="77777777" w:rsidR="00C055F8" w:rsidRPr="00E42C54" w:rsidRDefault="00F24962" w:rsidP="00C055F8">
            <w:pPr>
              <w:jc w:val="center"/>
              <w:rPr>
                <w:rFonts w:eastAsia="Calibri"/>
                <w:b/>
                <w:bCs/>
                <w:color w:val="0070C0"/>
              </w:rPr>
            </w:pPr>
            <w:r w:rsidRPr="005C2FB1">
              <w:rPr>
                <w:b/>
                <w:bCs/>
                <w:color w:val="9BBB59" w:themeColor="accent3"/>
              </w:rPr>
              <w:t>Good homes, green spaces, healthy places</w:t>
            </w:r>
          </w:p>
        </w:tc>
        <w:tc>
          <w:tcPr>
            <w:tcW w:w="1280" w:type="dxa"/>
          </w:tcPr>
          <w:p w14:paraId="39BA22CF" w14:textId="77777777" w:rsidR="00C055F8" w:rsidRDefault="00F24962" w:rsidP="00C055F8">
            <w:pPr>
              <w:pStyle w:val="NoSpacing"/>
              <w:jc w:val="center"/>
            </w:pPr>
            <w:r>
              <w:t xml:space="preserve">Baseline 2021/22, </w:t>
            </w:r>
          </w:p>
          <w:p w14:paraId="39BA22D0" w14:textId="77777777" w:rsidR="00C055F8" w:rsidRPr="00E42C54" w:rsidRDefault="00F24962" w:rsidP="00C055F8">
            <w:pPr>
              <w:pStyle w:val="NoSpacing"/>
              <w:jc w:val="center"/>
              <w:rPr>
                <w:rFonts w:eastAsia="Calibri"/>
              </w:rPr>
            </w:pPr>
            <w:r>
              <w:t>(Quarterly)</w:t>
            </w:r>
          </w:p>
        </w:tc>
        <w:tc>
          <w:tcPr>
            <w:tcW w:w="3719" w:type="dxa"/>
          </w:tcPr>
          <w:p w14:paraId="39BA22D1" w14:textId="77777777" w:rsidR="00C055F8" w:rsidRPr="00E42C54" w:rsidRDefault="00F24962" w:rsidP="00C055F8">
            <w:pPr>
              <w:rPr>
                <w:rFonts w:eastAsia="Calibri"/>
              </w:rPr>
            </w:pPr>
            <w:r>
              <w:rPr>
                <w:rFonts w:eastAsia="Calibri"/>
              </w:rPr>
              <w:t xml:space="preserve">This indicator has been rescoped from the number of young people’s physical activity courses delivered.  This now </w:t>
            </w:r>
            <w:r>
              <w:rPr>
                <w:rFonts w:eastAsia="Calibri"/>
              </w:rPr>
              <w:t xml:space="preserve">covers the changes to service focused on wellbeing activities delivered to all ages. </w:t>
            </w:r>
          </w:p>
        </w:tc>
      </w:tr>
      <w:tr w:rsidR="00E03946" w14:paraId="39BA22D8" w14:textId="77777777" w:rsidTr="005B15E3">
        <w:trPr>
          <w:trHeight w:val="319"/>
        </w:trPr>
        <w:tc>
          <w:tcPr>
            <w:tcW w:w="2580" w:type="dxa"/>
          </w:tcPr>
          <w:p w14:paraId="39BA22D3" w14:textId="77777777" w:rsidR="00C055F8" w:rsidRPr="0073238D" w:rsidRDefault="00F24962" w:rsidP="00C055F8">
            <w:pPr>
              <w:ind w:left="22" w:hanging="22"/>
              <w:rPr>
                <w:rFonts w:eastAsia="Calibri"/>
                <w:bCs/>
              </w:rPr>
            </w:pPr>
            <w:r w:rsidRPr="005C2FB1">
              <w:rPr>
                <w:rFonts w:eastAsia="Calibri"/>
                <w:bCs/>
              </w:rPr>
              <w:t xml:space="preserve">The number of people who are prevented from becoming homeless or have had their homelessness relieved </w:t>
            </w:r>
          </w:p>
        </w:tc>
        <w:tc>
          <w:tcPr>
            <w:tcW w:w="1814" w:type="dxa"/>
          </w:tcPr>
          <w:p w14:paraId="39BA22D4" w14:textId="77777777" w:rsidR="00C055F8" w:rsidRPr="00891D58" w:rsidRDefault="00F24962" w:rsidP="00C055F8">
            <w:pPr>
              <w:jc w:val="center"/>
              <w:rPr>
                <w:rFonts w:eastAsia="Calibri"/>
                <w:b/>
                <w:bCs/>
                <w:color w:val="7030A0"/>
                <w:szCs w:val="20"/>
              </w:rPr>
            </w:pPr>
            <w:r w:rsidRPr="005C2FB1">
              <w:rPr>
                <w:b/>
                <w:bCs/>
                <w:color w:val="9BBB59" w:themeColor="accent3"/>
              </w:rPr>
              <w:t>Good homes, green spaces, healthy places</w:t>
            </w:r>
          </w:p>
        </w:tc>
        <w:tc>
          <w:tcPr>
            <w:tcW w:w="1280" w:type="dxa"/>
          </w:tcPr>
          <w:p w14:paraId="39BA22D5" w14:textId="77777777" w:rsidR="00C055F8" w:rsidRDefault="00F24962" w:rsidP="00C055F8">
            <w:pPr>
              <w:jc w:val="center"/>
              <w:rPr>
                <w:rFonts w:eastAsia="Calibri"/>
                <w:bCs/>
              </w:rPr>
            </w:pPr>
            <w:r>
              <w:rPr>
                <w:rFonts w:eastAsia="Calibri"/>
                <w:bCs/>
              </w:rPr>
              <w:t>No Target</w:t>
            </w:r>
          </w:p>
          <w:p w14:paraId="39BA22D6" w14:textId="77777777" w:rsidR="00C055F8" w:rsidRDefault="00F24962" w:rsidP="00C055F8">
            <w:pPr>
              <w:jc w:val="center"/>
              <w:rPr>
                <w:rFonts w:eastAsia="Calibri"/>
                <w:bCs/>
              </w:rPr>
            </w:pPr>
            <w:r w:rsidRPr="005C2FB1">
              <w:rPr>
                <w:rFonts w:eastAsia="Calibri"/>
                <w:bCs/>
              </w:rPr>
              <w:t>(</w:t>
            </w:r>
            <w:r>
              <w:rPr>
                <w:rFonts w:eastAsia="Calibri"/>
                <w:bCs/>
              </w:rPr>
              <w:t>Q</w:t>
            </w:r>
            <w:r w:rsidRPr="005C2FB1">
              <w:rPr>
                <w:rFonts w:eastAsia="Calibri"/>
                <w:bCs/>
              </w:rPr>
              <w:t>uarterly)</w:t>
            </w:r>
          </w:p>
        </w:tc>
        <w:tc>
          <w:tcPr>
            <w:tcW w:w="3719" w:type="dxa"/>
          </w:tcPr>
          <w:p w14:paraId="39BA22D7" w14:textId="77777777" w:rsidR="00C055F8" w:rsidRDefault="00F24962" w:rsidP="00C055F8">
            <w:pPr>
              <w:rPr>
                <w:rFonts w:eastAsia="Calibri"/>
              </w:rPr>
            </w:pPr>
            <w:r>
              <w:rPr>
                <w:rFonts w:eastAsia="Calibri"/>
              </w:rPr>
              <w:t>This indicator has been amended to reflect that it is used to measure demand on homelessne</w:t>
            </w:r>
            <w:r>
              <w:rPr>
                <w:rFonts w:eastAsia="Calibri"/>
              </w:rPr>
              <w:t xml:space="preserve">ss services and where this has either been prevented or relieved. There is no target but will be reported quarterly to indicate the level of demand and track trends. </w:t>
            </w:r>
          </w:p>
        </w:tc>
      </w:tr>
    </w:tbl>
    <w:p w14:paraId="39BA22D9" w14:textId="77777777" w:rsidR="00C055F8" w:rsidRDefault="00F24962" w:rsidP="00C055F8">
      <w:pPr>
        <w:pStyle w:val="ListParagraph"/>
        <w:ind w:left="360"/>
        <w:rPr>
          <w:rFonts w:cstheme="minorHAnsi"/>
          <w:bCs/>
          <w:iCs/>
        </w:rPr>
      </w:pPr>
    </w:p>
    <w:p w14:paraId="39BA22DA" w14:textId="77777777" w:rsidR="00C055F8" w:rsidRDefault="00F24962" w:rsidP="005B15E3">
      <w:pPr>
        <w:pStyle w:val="Heading2"/>
      </w:pPr>
      <w:r>
        <w:t>Climate change and air quality</w:t>
      </w:r>
    </w:p>
    <w:p w14:paraId="39BA22DB" w14:textId="77777777" w:rsidR="00C055F8" w:rsidRPr="00AD1E77" w:rsidRDefault="00F24962" w:rsidP="00C055F8">
      <w:pPr>
        <w:pStyle w:val="ListParagraph"/>
        <w:numPr>
          <w:ilvl w:val="0"/>
          <w:numId w:val="8"/>
        </w:numPr>
        <w:tabs>
          <w:tab w:val="left" w:pos="567"/>
        </w:tabs>
        <w:spacing w:after="0" w:line="240" w:lineRule="auto"/>
        <w:ind w:left="567" w:right="-284" w:hanging="567"/>
        <w:rPr>
          <w:rFonts w:ascii="Arial" w:eastAsia="Times New Roman" w:hAnsi="Arial" w:cs="Arial"/>
          <w:lang w:eastAsia="en-GB"/>
        </w:rPr>
      </w:pPr>
      <w:r w:rsidRPr="00E06F2E">
        <w:t>The work noted in this report impacts on the following areas of climate change and sustainability targets of the Council</w:t>
      </w:r>
      <w:r>
        <w:t>’</w:t>
      </w:r>
      <w:r w:rsidRPr="00E06F2E">
        <w:t>s Green Agenda: net carbon zero by 2030, reducing waste production, limiting non sustainable forms of transport, working with sustainab</w:t>
      </w:r>
      <w:r w:rsidRPr="00E06F2E">
        <w:t xml:space="preserve">le and green accredited companies, limiting or improving air quality, limiting water waste and flooding risks, improving green areas and biodiversity. </w:t>
      </w:r>
    </w:p>
    <w:p w14:paraId="39BA22DC" w14:textId="77777777" w:rsidR="00C055F8" w:rsidRPr="00AD1E77" w:rsidRDefault="00F24962" w:rsidP="00C055F8">
      <w:pPr>
        <w:pStyle w:val="ListParagraph"/>
        <w:tabs>
          <w:tab w:val="left" w:pos="567"/>
        </w:tabs>
        <w:spacing w:after="0" w:line="240" w:lineRule="auto"/>
        <w:ind w:left="567" w:right="-284"/>
        <w:rPr>
          <w:rFonts w:ascii="Arial" w:eastAsia="Times New Roman" w:hAnsi="Arial" w:cs="Arial"/>
          <w:lang w:eastAsia="en-GB"/>
        </w:rPr>
      </w:pPr>
    </w:p>
    <w:p w14:paraId="39BA22DD" w14:textId="77777777" w:rsidR="00C055F8" w:rsidRPr="00ED4FF1" w:rsidRDefault="00F24962" w:rsidP="00C055F8">
      <w:pPr>
        <w:pStyle w:val="Heading2"/>
      </w:pPr>
      <w:r w:rsidRPr="00ED4FF1">
        <w:t>Equality and diversity</w:t>
      </w:r>
    </w:p>
    <w:p w14:paraId="39BA22DE" w14:textId="77777777" w:rsidR="00C055F8" w:rsidRPr="00756603" w:rsidRDefault="00F24962" w:rsidP="00C055F8">
      <w:pPr>
        <w:numPr>
          <w:ilvl w:val="0"/>
          <w:numId w:val="8"/>
        </w:numPr>
        <w:spacing w:after="0" w:line="240" w:lineRule="auto"/>
        <w:rPr>
          <w:rFonts w:cstheme="minorHAnsi"/>
          <w:bCs/>
          <w:iCs/>
        </w:rPr>
      </w:pPr>
      <w:r w:rsidRPr="00756603">
        <w:rPr>
          <w:rFonts w:cstheme="minorHAnsi"/>
          <w:bCs/>
          <w:iCs/>
        </w:rPr>
        <w:t>The review of the strategy each year provides the opportunity to consider the la</w:t>
      </w:r>
      <w:r w:rsidRPr="00756603">
        <w:rPr>
          <w:rFonts w:cstheme="minorHAnsi"/>
          <w:bCs/>
          <w:iCs/>
        </w:rPr>
        <w:t xml:space="preserve">test demographic information, policy context and implications for services. The strategy sets </w:t>
      </w:r>
      <w:r>
        <w:rPr>
          <w:rFonts w:cstheme="minorHAnsi"/>
          <w:bCs/>
          <w:iCs/>
        </w:rPr>
        <w:t>out</w:t>
      </w:r>
      <w:r w:rsidRPr="00756603">
        <w:rPr>
          <w:rFonts w:cstheme="minorHAnsi"/>
          <w:bCs/>
          <w:iCs/>
        </w:rPr>
        <w:t xml:space="preserve"> support for those in communities who may have unfair disadvantages in accessing support, services and opportunities. </w:t>
      </w:r>
    </w:p>
    <w:p w14:paraId="39BA22DF" w14:textId="77777777" w:rsidR="00C055F8" w:rsidRDefault="00F24962" w:rsidP="00C055F8">
      <w:pPr>
        <w:spacing w:after="0" w:line="240" w:lineRule="auto"/>
        <w:ind w:left="360"/>
        <w:rPr>
          <w:rFonts w:cstheme="minorHAnsi"/>
          <w:bCs/>
          <w:iCs/>
        </w:rPr>
      </w:pPr>
    </w:p>
    <w:p w14:paraId="39BA22E0" w14:textId="77777777" w:rsidR="00C055F8" w:rsidRPr="00756603" w:rsidRDefault="00F24962" w:rsidP="00C055F8">
      <w:pPr>
        <w:numPr>
          <w:ilvl w:val="0"/>
          <w:numId w:val="8"/>
        </w:numPr>
        <w:spacing w:after="0" w:line="240" w:lineRule="auto"/>
        <w:rPr>
          <w:rFonts w:cstheme="minorHAnsi"/>
          <w:bCs/>
          <w:iCs/>
        </w:rPr>
      </w:pPr>
      <w:r w:rsidRPr="00756603">
        <w:rPr>
          <w:rFonts w:cstheme="minorHAnsi"/>
          <w:bCs/>
          <w:iCs/>
        </w:rPr>
        <w:t>The strategy sets out the ambitions and</w:t>
      </w:r>
      <w:r w:rsidRPr="00756603">
        <w:rPr>
          <w:rFonts w:cstheme="minorHAnsi"/>
          <w:bCs/>
          <w:iCs/>
        </w:rPr>
        <w:t xml:space="preserve"> strategic objectives to be met over the next 12 months. As each project is implemented, an equality impact assessment will be </w:t>
      </w:r>
      <w:r>
        <w:rPr>
          <w:rFonts w:cstheme="minorHAnsi"/>
          <w:bCs/>
          <w:iCs/>
        </w:rPr>
        <w:t xml:space="preserve"> </w:t>
      </w:r>
      <w:r w:rsidRPr="00756603">
        <w:rPr>
          <w:rFonts w:cstheme="minorHAnsi"/>
          <w:bCs/>
          <w:iCs/>
        </w:rPr>
        <w:t>undertaken to consider the equality and diversity implications.</w:t>
      </w:r>
    </w:p>
    <w:p w14:paraId="39BA22E1" w14:textId="77777777" w:rsidR="00C055F8" w:rsidRDefault="00F24962" w:rsidP="001E3F80"/>
    <w:p w14:paraId="39BA22E2" w14:textId="77777777" w:rsidR="00C055F8" w:rsidRDefault="00F24962" w:rsidP="00C055F8">
      <w:pPr>
        <w:pStyle w:val="Heading2"/>
      </w:pPr>
      <w:r>
        <w:t>Risk</w:t>
      </w:r>
    </w:p>
    <w:p w14:paraId="39BA22E3" w14:textId="77777777" w:rsidR="00C055F8" w:rsidRPr="00EE5773" w:rsidRDefault="00F24962" w:rsidP="00C055F8">
      <w:pPr>
        <w:pStyle w:val="ListParagraph"/>
        <w:numPr>
          <w:ilvl w:val="0"/>
          <w:numId w:val="8"/>
        </w:numPr>
        <w:rPr>
          <w:rFonts w:asciiTheme="majorHAnsi" w:eastAsia="Times New Roman" w:hAnsiTheme="majorHAnsi" w:cstheme="majorHAnsi"/>
          <w:lang w:eastAsia="en-GB"/>
        </w:rPr>
      </w:pPr>
      <w:r w:rsidRPr="00EE5773">
        <w:rPr>
          <w:rFonts w:asciiTheme="majorHAnsi" w:eastAsia="Times New Roman" w:hAnsiTheme="majorHAnsi" w:cstheme="majorHAnsi"/>
          <w:lang w:eastAsia="en-GB"/>
        </w:rPr>
        <w:t xml:space="preserve">The council maintains a strategic corporate risk register </w:t>
      </w:r>
      <w:r w:rsidRPr="00EE5773">
        <w:rPr>
          <w:rFonts w:asciiTheme="majorHAnsi" w:eastAsia="Times New Roman" w:hAnsiTheme="majorHAnsi" w:cstheme="majorHAnsi"/>
          <w:lang w:eastAsia="en-GB"/>
        </w:rPr>
        <w:t>which sets out the main risks to the organisation and delivery of its services and strategy. In considering the key risks to the delivery of the corporate strategy, the main risks will be related to resourcing and finance, the potential for further disrupt</w:t>
      </w:r>
      <w:r w:rsidRPr="00EE5773">
        <w:rPr>
          <w:rFonts w:asciiTheme="majorHAnsi" w:eastAsia="Times New Roman" w:hAnsiTheme="majorHAnsi" w:cstheme="majorHAnsi"/>
          <w:lang w:eastAsia="en-GB"/>
        </w:rPr>
        <w:t xml:space="preserve">ion due to the pandemic and external forces within the economy and communities. To manage these risks there are mitigation plans in place and each project listed in the strategy is required to undertake and maintain its own risk register.  </w:t>
      </w:r>
    </w:p>
    <w:p w14:paraId="39BA22E4" w14:textId="77777777" w:rsidR="00C055F8" w:rsidRPr="00ED4FF1" w:rsidRDefault="00F24962" w:rsidP="00C055F8">
      <w:pPr>
        <w:pStyle w:val="Heading2"/>
      </w:pPr>
      <w:r w:rsidRPr="00ED4FF1">
        <w:t>Comments of the</w:t>
      </w:r>
      <w:r w:rsidRPr="00ED4FF1">
        <w:t xml:space="preserve"> Statutory Finance Officer</w:t>
      </w:r>
    </w:p>
    <w:p w14:paraId="39BA22E5" w14:textId="77777777" w:rsidR="00C055F8" w:rsidRPr="00883AC9" w:rsidRDefault="00F24962" w:rsidP="00C055F8">
      <w:pPr>
        <w:numPr>
          <w:ilvl w:val="0"/>
          <w:numId w:val="8"/>
        </w:numPr>
        <w:spacing w:after="0" w:line="240" w:lineRule="auto"/>
        <w:jc w:val="both"/>
        <w:rPr>
          <w:rFonts w:cstheme="minorHAnsi"/>
          <w:bCs/>
          <w:iCs/>
        </w:rPr>
      </w:pPr>
      <w:r>
        <w:rPr>
          <w:rFonts w:cstheme="minorHAnsi"/>
          <w:bCs/>
          <w:iCs/>
        </w:rPr>
        <w:t>The budget, including the Medium Term Financial Strategy, will be approved in February 2022 and will support the delivery of the Corporate Strategy.</w:t>
      </w:r>
    </w:p>
    <w:p w14:paraId="39BA22E6" w14:textId="77777777" w:rsidR="00C055F8" w:rsidRPr="00D4431F" w:rsidRDefault="00F24962" w:rsidP="00C055F8">
      <w:pPr>
        <w:spacing w:after="0" w:line="240" w:lineRule="auto"/>
        <w:ind w:left="720"/>
        <w:jc w:val="both"/>
        <w:rPr>
          <w:rFonts w:cstheme="minorHAnsi"/>
          <w:bCs/>
        </w:rPr>
      </w:pPr>
    </w:p>
    <w:p w14:paraId="39BA22E7" w14:textId="77777777" w:rsidR="00C055F8" w:rsidRPr="00ED4FF1" w:rsidRDefault="00F24962" w:rsidP="00C055F8">
      <w:pPr>
        <w:pStyle w:val="Heading2"/>
      </w:pPr>
      <w:r w:rsidRPr="00ED4FF1">
        <w:t>Comments of the Monitoring Officer</w:t>
      </w:r>
    </w:p>
    <w:p w14:paraId="39BA22E8" w14:textId="77777777" w:rsidR="005858AF" w:rsidRDefault="00F24962" w:rsidP="00C055F8">
      <w:pPr>
        <w:numPr>
          <w:ilvl w:val="0"/>
          <w:numId w:val="8"/>
        </w:numPr>
        <w:spacing w:after="0" w:line="240" w:lineRule="auto"/>
        <w:jc w:val="both"/>
        <w:rPr>
          <w:rFonts w:cstheme="minorHAnsi"/>
          <w:bCs/>
          <w:iCs/>
        </w:rPr>
      </w:pPr>
      <w:r w:rsidRPr="00883AC9">
        <w:rPr>
          <w:rFonts w:cstheme="minorHAnsi"/>
          <w:bCs/>
          <w:iCs/>
        </w:rPr>
        <w:t>Th</w:t>
      </w:r>
      <w:r>
        <w:rPr>
          <w:rFonts w:cstheme="minorHAnsi"/>
          <w:bCs/>
          <w:iCs/>
        </w:rPr>
        <w:t xml:space="preserve">ere are no issues of concern from a Monitoring Officer perspective. </w:t>
      </w:r>
    </w:p>
    <w:p w14:paraId="39BA22E9" w14:textId="77777777" w:rsidR="005858AF" w:rsidRDefault="00F24962" w:rsidP="001E3F80">
      <w:pPr>
        <w:spacing w:after="0" w:line="240" w:lineRule="auto"/>
        <w:ind w:left="360"/>
        <w:jc w:val="both"/>
        <w:rPr>
          <w:rFonts w:cstheme="minorHAnsi"/>
          <w:bCs/>
          <w:iCs/>
        </w:rPr>
      </w:pPr>
    </w:p>
    <w:p w14:paraId="39BA22EA" w14:textId="77777777" w:rsidR="00C055F8" w:rsidRPr="00883AC9" w:rsidRDefault="00F24962" w:rsidP="00A368E8">
      <w:pPr>
        <w:numPr>
          <w:ilvl w:val="0"/>
          <w:numId w:val="8"/>
        </w:numPr>
        <w:spacing w:after="0" w:line="240" w:lineRule="auto"/>
        <w:rPr>
          <w:rFonts w:cstheme="minorHAnsi"/>
          <w:bCs/>
          <w:iCs/>
        </w:rPr>
      </w:pPr>
      <w:r>
        <w:rPr>
          <w:rFonts w:cstheme="minorHAnsi"/>
          <w:bCs/>
          <w:iCs/>
        </w:rPr>
        <w:t>The report notes the improvements that have already been made to the governance environment in the council via implementing the AGS Action Plan. Clearly though this process of improvemen</w:t>
      </w:r>
      <w:r>
        <w:rPr>
          <w:rFonts w:cstheme="minorHAnsi"/>
          <w:bCs/>
          <w:iCs/>
        </w:rPr>
        <w:t xml:space="preserve">t needs to continue.  </w:t>
      </w:r>
    </w:p>
    <w:p w14:paraId="39BA22EB" w14:textId="77777777" w:rsidR="00C055F8" w:rsidRPr="00D1305C" w:rsidRDefault="00F24962" w:rsidP="00C055F8">
      <w:pPr>
        <w:spacing w:after="0" w:line="240" w:lineRule="auto"/>
        <w:ind w:left="720"/>
        <w:jc w:val="both"/>
        <w:rPr>
          <w:rFonts w:cstheme="minorHAnsi"/>
          <w:bCs/>
        </w:rPr>
      </w:pPr>
    </w:p>
    <w:p w14:paraId="39BA22EC" w14:textId="77777777" w:rsidR="00C055F8" w:rsidRPr="00D1305C" w:rsidRDefault="00F24962" w:rsidP="00C055F8">
      <w:pPr>
        <w:rPr>
          <w:rFonts w:eastAsia="Times New Roman" w:cstheme="minorHAnsi"/>
          <w:bCs/>
          <w:color w:val="000000" w:themeColor="text1"/>
          <w:kern w:val="36"/>
          <w:lang w:eastAsia="en-GB"/>
        </w:rPr>
      </w:pPr>
      <w:r w:rsidRPr="00ED4FF1">
        <w:rPr>
          <w:rStyle w:val="Heading2Char"/>
          <w:rFonts w:eastAsiaTheme="minorHAnsi"/>
        </w:rPr>
        <w:t>Background documents</w:t>
      </w:r>
      <w:r w:rsidRPr="00ED4FF1">
        <w:rPr>
          <w:rFonts w:eastAsia="Times New Roman" w:cstheme="minorHAnsi"/>
          <w:b/>
          <w:bCs/>
          <w:color w:val="000000" w:themeColor="text1"/>
          <w:kern w:val="36"/>
          <w:sz w:val="14"/>
          <w:szCs w:val="14"/>
          <w:lang w:eastAsia="en-GB"/>
        </w:rPr>
        <w:t xml:space="preserve"> </w:t>
      </w:r>
    </w:p>
    <w:p w14:paraId="39BA22ED" w14:textId="77777777" w:rsidR="00C055F8" w:rsidRPr="00883AC9" w:rsidRDefault="00F24962" w:rsidP="00C055F8">
      <w:pPr>
        <w:rPr>
          <w:rFonts w:eastAsia="Times New Roman" w:cstheme="minorHAnsi"/>
          <w:bCs/>
          <w:iCs/>
          <w:color w:val="000000" w:themeColor="text1"/>
          <w:kern w:val="36"/>
          <w:lang w:eastAsia="en-GB"/>
        </w:rPr>
      </w:pPr>
      <w:r w:rsidRPr="00D1305C">
        <w:rPr>
          <w:rFonts w:eastAsia="Times New Roman" w:cstheme="minorHAnsi"/>
          <w:bCs/>
          <w:color w:val="000000" w:themeColor="text1"/>
          <w:kern w:val="36"/>
          <w:lang w:eastAsia="en-GB"/>
        </w:rPr>
        <w:t>There are no background papers to this report</w:t>
      </w:r>
      <w:r w:rsidRPr="00883AC9">
        <w:rPr>
          <w:rFonts w:eastAsia="Times New Roman" w:cstheme="minorHAnsi"/>
          <w:bCs/>
          <w:iCs/>
          <w:color w:val="000000" w:themeColor="text1"/>
          <w:kern w:val="36"/>
          <w:lang w:eastAsia="en-GB"/>
        </w:rPr>
        <w:t xml:space="preserve"> </w:t>
      </w:r>
    </w:p>
    <w:p w14:paraId="39BA22EE" w14:textId="77777777" w:rsidR="00C055F8" w:rsidRPr="00ED4FF1" w:rsidRDefault="00F24962" w:rsidP="00C055F8">
      <w:pPr>
        <w:pStyle w:val="Heading2"/>
      </w:pPr>
      <w:r w:rsidRPr="00ED4FF1">
        <w:t xml:space="preserve">Appendices </w:t>
      </w:r>
    </w:p>
    <w:p w14:paraId="39BA22EF" w14:textId="77777777" w:rsidR="00C055F8" w:rsidRPr="00883AC9" w:rsidRDefault="00F24962" w:rsidP="00C055F8">
      <w:pPr>
        <w:spacing w:after="0"/>
        <w:rPr>
          <w:rFonts w:eastAsia="Times New Roman" w:cstheme="minorHAnsi"/>
          <w:bCs/>
          <w:iCs/>
          <w:color w:val="000000" w:themeColor="text1"/>
          <w:kern w:val="36"/>
          <w:lang w:eastAsia="en-GB"/>
        </w:rPr>
      </w:pPr>
      <w:r w:rsidRPr="00883AC9">
        <w:rPr>
          <w:rFonts w:eastAsia="Times New Roman" w:cstheme="minorHAnsi"/>
          <w:bCs/>
          <w:iCs/>
          <w:color w:val="000000" w:themeColor="text1"/>
          <w:kern w:val="36"/>
          <w:lang w:eastAsia="en-GB"/>
        </w:rPr>
        <w:t>Appendix A</w:t>
      </w:r>
      <w:r>
        <w:rPr>
          <w:rFonts w:eastAsia="Times New Roman" w:cstheme="minorHAnsi"/>
          <w:bCs/>
          <w:iCs/>
          <w:color w:val="000000" w:themeColor="text1"/>
          <w:kern w:val="36"/>
          <w:lang w:eastAsia="en-GB"/>
        </w:rPr>
        <w:t xml:space="preserve"> – Summary of Corporate Strategy Projects 2020/2021</w:t>
      </w:r>
    </w:p>
    <w:p w14:paraId="39BA22F0" w14:textId="77777777" w:rsidR="00C055F8" w:rsidRDefault="00F24962" w:rsidP="00C055F8">
      <w:pPr>
        <w:spacing w:after="0"/>
        <w:rPr>
          <w:rFonts w:eastAsia="Times New Roman" w:cstheme="minorHAnsi"/>
          <w:bCs/>
          <w:iCs/>
          <w:color w:val="000000" w:themeColor="text1"/>
          <w:kern w:val="36"/>
          <w:lang w:eastAsia="en-GB"/>
        </w:rPr>
      </w:pPr>
      <w:r w:rsidRPr="00883AC9">
        <w:rPr>
          <w:rFonts w:eastAsia="Times New Roman" w:cstheme="minorHAnsi"/>
          <w:bCs/>
          <w:iCs/>
          <w:color w:val="000000" w:themeColor="text1"/>
          <w:kern w:val="36"/>
          <w:lang w:eastAsia="en-GB"/>
        </w:rPr>
        <w:t xml:space="preserve">Appendix B </w:t>
      </w:r>
      <w:r>
        <w:rPr>
          <w:rFonts w:eastAsia="Times New Roman" w:cstheme="minorHAnsi"/>
          <w:bCs/>
          <w:iCs/>
          <w:color w:val="000000" w:themeColor="text1"/>
          <w:kern w:val="36"/>
          <w:lang w:eastAsia="en-GB"/>
        </w:rPr>
        <w:t>– Equality Impact Assessment</w:t>
      </w:r>
    </w:p>
    <w:p w14:paraId="39BA22F1" w14:textId="77777777" w:rsidR="00C055F8" w:rsidRPr="00883AC9" w:rsidRDefault="00F24962" w:rsidP="00C055F8">
      <w:pPr>
        <w:rPr>
          <w:rFonts w:eastAsia="Times New Roman" w:cstheme="minorHAnsi"/>
          <w:bCs/>
          <w:iCs/>
          <w:color w:val="000000" w:themeColor="text1"/>
          <w:kern w:val="36"/>
          <w:lang w:eastAsia="en-GB"/>
        </w:rPr>
      </w:pPr>
      <w:r>
        <w:rPr>
          <w:rFonts w:eastAsia="Times New Roman" w:cstheme="minorHAnsi"/>
          <w:bCs/>
          <w:iCs/>
          <w:color w:val="000000" w:themeColor="text1"/>
          <w:kern w:val="36"/>
          <w:lang w:eastAsia="en-GB"/>
        </w:rPr>
        <w:t xml:space="preserve">Appendix C – Corporate Strategy 2021/22 – </w:t>
      </w:r>
      <w:r>
        <w:rPr>
          <w:rFonts w:eastAsia="Times New Roman" w:cstheme="minorHAnsi"/>
          <w:bCs/>
          <w:iCs/>
          <w:color w:val="000000" w:themeColor="text1"/>
          <w:kern w:val="36"/>
          <w:lang w:eastAsia="en-GB"/>
        </w:rPr>
        <w:t>2023/24</w:t>
      </w:r>
    </w:p>
    <w:p w14:paraId="39BA22F2" w14:textId="77777777" w:rsidR="00C055F8" w:rsidRPr="00D4431F" w:rsidRDefault="00F24962" w:rsidP="00C055F8">
      <w:pPr>
        <w:spacing w:line="240" w:lineRule="auto"/>
        <w:jc w:val="both"/>
        <w:rPr>
          <w:rFonts w:cstheme="minorHAnsi"/>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8"/>
        <w:gridCol w:w="3852"/>
        <w:gridCol w:w="1390"/>
        <w:gridCol w:w="1318"/>
      </w:tblGrid>
      <w:tr w:rsidR="00E03946" w14:paraId="39BA22F7" w14:textId="77777777" w:rsidTr="00C055F8">
        <w:tc>
          <w:tcPr>
            <w:tcW w:w="3856" w:type="dxa"/>
            <w:shd w:val="clear" w:color="auto" w:fill="auto"/>
          </w:tcPr>
          <w:p w14:paraId="39BA22F3" w14:textId="77777777" w:rsidR="00C055F8" w:rsidRPr="00D4431F" w:rsidRDefault="00F24962" w:rsidP="00C055F8">
            <w:pPr>
              <w:spacing w:line="240" w:lineRule="auto"/>
              <w:jc w:val="both"/>
              <w:rPr>
                <w:rFonts w:cstheme="minorHAnsi"/>
                <w:bCs/>
              </w:rPr>
            </w:pPr>
            <w:r w:rsidRPr="00D4431F">
              <w:rPr>
                <w:rFonts w:cstheme="minorHAnsi"/>
                <w:bCs/>
              </w:rPr>
              <w:t>Report Author:</w:t>
            </w:r>
          </w:p>
        </w:tc>
        <w:tc>
          <w:tcPr>
            <w:tcW w:w="2835" w:type="dxa"/>
          </w:tcPr>
          <w:p w14:paraId="39BA22F4" w14:textId="77777777" w:rsidR="00C055F8" w:rsidRPr="00D4431F" w:rsidRDefault="00F24962" w:rsidP="00C055F8">
            <w:pPr>
              <w:spacing w:line="240" w:lineRule="auto"/>
              <w:jc w:val="both"/>
              <w:rPr>
                <w:rFonts w:cstheme="minorHAnsi"/>
                <w:bCs/>
              </w:rPr>
            </w:pPr>
            <w:r w:rsidRPr="00D4431F">
              <w:rPr>
                <w:rFonts w:cstheme="minorHAnsi"/>
                <w:bCs/>
              </w:rPr>
              <w:t>Email:</w:t>
            </w:r>
          </w:p>
        </w:tc>
        <w:tc>
          <w:tcPr>
            <w:tcW w:w="1560" w:type="dxa"/>
            <w:shd w:val="clear" w:color="auto" w:fill="auto"/>
          </w:tcPr>
          <w:p w14:paraId="39BA22F5" w14:textId="77777777" w:rsidR="00C055F8" w:rsidRPr="00D4431F" w:rsidRDefault="00F24962" w:rsidP="00C055F8">
            <w:pPr>
              <w:spacing w:line="240" w:lineRule="auto"/>
              <w:jc w:val="both"/>
              <w:rPr>
                <w:rFonts w:cstheme="minorHAnsi"/>
                <w:bCs/>
              </w:rPr>
            </w:pPr>
            <w:r w:rsidRPr="00D4431F">
              <w:rPr>
                <w:rFonts w:cstheme="minorHAnsi"/>
                <w:bCs/>
              </w:rPr>
              <w:t>Telephone:</w:t>
            </w:r>
          </w:p>
        </w:tc>
        <w:tc>
          <w:tcPr>
            <w:tcW w:w="1269" w:type="dxa"/>
            <w:shd w:val="clear" w:color="auto" w:fill="auto"/>
          </w:tcPr>
          <w:p w14:paraId="39BA22F6" w14:textId="77777777" w:rsidR="00C055F8" w:rsidRPr="00D4431F" w:rsidRDefault="00F24962" w:rsidP="00C055F8">
            <w:pPr>
              <w:spacing w:line="240" w:lineRule="auto"/>
              <w:jc w:val="both"/>
              <w:rPr>
                <w:rFonts w:cstheme="minorHAnsi"/>
                <w:bCs/>
              </w:rPr>
            </w:pPr>
            <w:r w:rsidRPr="00D4431F">
              <w:rPr>
                <w:rFonts w:cstheme="minorHAnsi"/>
                <w:bCs/>
              </w:rPr>
              <w:t>Date:</w:t>
            </w:r>
          </w:p>
        </w:tc>
      </w:tr>
      <w:tr w:rsidR="00E03946" w14:paraId="39BA22FC" w14:textId="77777777" w:rsidTr="00C055F8">
        <w:tc>
          <w:tcPr>
            <w:tcW w:w="3856" w:type="dxa"/>
            <w:shd w:val="clear" w:color="auto" w:fill="auto"/>
          </w:tcPr>
          <w:p w14:paraId="39BA22F8" w14:textId="77777777" w:rsidR="00C055F8" w:rsidRPr="00D4431F" w:rsidRDefault="00F24962" w:rsidP="00C055F8">
            <w:pPr>
              <w:spacing w:line="240" w:lineRule="auto"/>
              <w:rPr>
                <w:rFonts w:cstheme="minorHAnsi"/>
                <w:bCs/>
              </w:rPr>
            </w:pPr>
            <w:r w:rsidRPr="00D4431F">
              <w:rPr>
                <w:rFonts w:cstheme="minorHAnsi"/>
                <w:bCs/>
              </w:rPr>
              <w:fldChar w:fldCharType="begin"/>
            </w:r>
            <w:r w:rsidRPr="00D4431F">
              <w:rPr>
                <w:rFonts w:cstheme="minorHAnsi"/>
                <w:bCs/>
              </w:rPr>
              <w:instrText xml:space="preserve"> DOCPROPERTY  LeadOfficer  \* MERGEFORMAT </w:instrText>
            </w:r>
            <w:r w:rsidRPr="00D4431F">
              <w:rPr>
                <w:rFonts w:cstheme="minorHAnsi"/>
                <w:bCs/>
              </w:rPr>
              <w:fldChar w:fldCharType="separate"/>
            </w:r>
            <w:r>
              <w:rPr>
                <w:rFonts w:cstheme="minorHAnsi"/>
                <w:bCs/>
              </w:rPr>
              <w:t>Howard Anthony, Victoria Willett</w:t>
            </w:r>
            <w:r w:rsidRPr="00D4431F">
              <w:rPr>
                <w:rFonts w:cstheme="minorHAnsi"/>
                <w:bCs/>
                <w:lang w:val="en-US"/>
              </w:rPr>
              <w:fldChar w:fldCharType="end"/>
            </w:r>
            <w:r w:rsidRPr="00D4431F">
              <w:rPr>
                <w:rFonts w:cstheme="minorHAnsi"/>
                <w:bCs/>
              </w:rPr>
              <w:t xml:space="preserve"> (</w:t>
            </w:r>
            <w:r>
              <w:rPr>
                <w:rFonts w:cstheme="minorHAnsi"/>
                <w:bCs/>
              </w:rPr>
              <w:fldChar w:fldCharType="begin"/>
            </w:r>
            <w:r>
              <w:rPr>
                <w:rFonts w:cstheme="minorHAnsi"/>
                <w:bCs/>
              </w:rPr>
              <w:instrText xml:space="preserve"> DOCPROPERTY  LeadOfficerPost  \* MERGEFORMAT </w:instrText>
            </w:r>
            <w:r>
              <w:rPr>
                <w:rFonts w:cstheme="minorHAnsi"/>
                <w:bCs/>
              </w:rPr>
              <w:fldChar w:fldCharType="separate"/>
            </w:r>
            <w:r>
              <w:rPr>
                <w:rFonts w:cstheme="minorHAnsi"/>
                <w:bCs/>
              </w:rPr>
              <w:t xml:space="preserve">South Ribble Partnership Manager, Service Lead - Transformation and </w:t>
            </w:r>
            <w:r>
              <w:rPr>
                <w:rFonts w:cstheme="minorHAnsi"/>
                <w:bCs/>
              </w:rPr>
              <w:t>Partnerships</w:t>
            </w:r>
            <w:r>
              <w:rPr>
                <w:rFonts w:cstheme="minorHAnsi"/>
                <w:bCs/>
              </w:rPr>
              <w:fldChar w:fldCharType="end"/>
            </w:r>
            <w:r w:rsidRPr="00D4431F">
              <w:rPr>
                <w:rFonts w:cstheme="minorHAnsi"/>
                <w:bCs/>
              </w:rPr>
              <w:t>)</w:t>
            </w:r>
          </w:p>
        </w:tc>
        <w:tc>
          <w:tcPr>
            <w:tcW w:w="2835" w:type="dxa"/>
          </w:tcPr>
          <w:p w14:paraId="39BA22F9" w14:textId="77777777" w:rsidR="00C055F8" w:rsidRPr="00D4431F" w:rsidRDefault="00F24962" w:rsidP="00C055F8">
            <w:pPr>
              <w:spacing w:line="240" w:lineRule="auto"/>
              <w:jc w:val="both"/>
              <w:rPr>
                <w:rFonts w:cstheme="minorHAnsi"/>
                <w:bCs/>
              </w:rPr>
            </w:pPr>
            <w:r>
              <w:rPr>
                <w:rFonts w:cstheme="minorHAnsi"/>
                <w:bCs/>
              </w:rPr>
              <w:fldChar w:fldCharType="begin"/>
            </w:r>
            <w:r>
              <w:rPr>
                <w:rFonts w:cstheme="minorHAnsi"/>
                <w:bCs/>
              </w:rPr>
              <w:instrText xml:space="preserve"> DOCPROPERTY  LeadOfficerEmail  \* MERGEFORMAT </w:instrText>
            </w:r>
            <w:r>
              <w:rPr>
                <w:rFonts w:cstheme="minorHAnsi"/>
                <w:bCs/>
              </w:rPr>
              <w:fldChar w:fldCharType="separate"/>
            </w:r>
            <w:r>
              <w:rPr>
                <w:rFonts w:cstheme="minorHAnsi"/>
                <w:bCs/>
              </w:rPr>
              <w:t>howard.anthony@southribble.gov.uk, vicky.willett@southribble.gov.uk</w:t>
            </w:r>
            <w:r>
              <w:rPr>
                <w:rFonts w:cstheme="minorHAnsi"/>
                <w:bCs/>
              </w:rPr>
              <w:fldChar w:fldCharType="end"/>
            </w:r>
          </w:p>
        </w:tc>
        <w:tc>
          <w:tcPr>
            <w:tcW w:w="1560" w:type="dxa"/>
            <w:shd w:val="clear" w:color="auto" w:fill="auto"/>
          </w:tcPr>
          <w:p w14:paraId="39BA22FA" w14:textId="77777777" w:rsidR="00C055F8" w:rsidRPr="00D4431F" w:rsidRDefault="00F24962" w:rsidP="00C055F8">
            <w:pPr>
              <w:spacing w:line="240" w:lineRule="auto"/>
              <w:jc w:val="both"/>
              <w:rPr>
                <w:rFonts w:cstheme="minorHAnsi"/>
                <w:bCs/>
              </w:rPr>
            </w:pPr>
            <w:r w:rsidRPr="00D4431F">
              <w:rPr>
                <w:rFonts w:cstheme="minorHAnsi"/>
                <w:bCs/>
              </w:rPr>
              <w:t xml:space="preserve">01772 </w:t>
            </w:r>
            <w:r>
              <w:rPr>
                <w:rFonts w:cstheme="minorHAnsi"/>
                <w:bCs/>
              </w:rPr>
              <w:t>625546</w:t>
            </w:r>
          </w:p>
        </w:tc>
        <w:tc>
          <w:tcPr>
            <w:tcW w:w="1269" w:type="dxa"/>
            <w:shd w:val="clear" w:color="auto" w:fill="auto"/>
          </w:tcPr>
          <w:p w14:paraId="39BA22FB" w14:textId="77777777" w:rsidR="00C055F8" w:rsidRPr="00D4431F" w:rsidRDefault="00F24962" w:rsidP="00C055F8">
            <w:pPr>
              <w:spacing w:line="240" w:lineRule="auto"/>
              <w:jc w:val="both"/>
              <w:rPr>
                <w:rFonts w:cstheme="minorHAnsi"/>
                <w:bCs/>
              </w:rPr>
            </w:pPr>
            <w:r>
              <w:rPr>
                <w:rFonts w:cstheme="minorHAnsi"/>
                <w:bCs/>
              </w:rPr>
              <w:t>12/11/2021</w:t>
            </w:r>
          </w:p>
        </w:tc>
      </w:tr>
    </w:tbl>
    <w:p w14:paraId="39BA22FD" w14:textId="77777777" w:rsidR="00C055F8" w:rsidRDefault="00F24962">
      <w:pPr>
        <w:rPr>
          <w:rFonts w:cstheme="minorHAnsi"/>
          <w:bCs/>
          <w:color w:val="000000" w:themeColor="text1"/>
          <w:lang w:val="en-US"/>
        </w:rPr>
      </w:pPr>
    </w:p>
    <w:p w14:paraId="39BA22FE" w14:textId="77777777" w:rsidR="00C055F8" w:rsidRDefault="00F24962">
      <w:pPr>
        <w:rPr>
          <w:rFonts w:cstheme="minorHAnsi"/>
          <w:bCs/>
          <w:color w:val="000000" w:themeColor="text1"/>
          <w:lang w:val="en-US"/>
        </w:rPr>
        <w:sectPr w:rsidR="00C055F8" w:rsidSect="005B15E3">
          <w:pgSz w:w="11906" w:h="16838"/>
          <w:pgMar w:top="1440" w:right="1440" w:bottom="1134" w:left="1440" w:header="708" w:footer="708" w:gutter="0"/>
          <w:cols w:space="708"/>
          <w:docGrid w:linePitch="360"/>
        </w:sectPr>
      </w:pPr>
    </w:p>
    <w:tbl>
      <w:tblPr>
        <w:tblStyle w:val="TableGrid"/>
        <w:tblW w:w="0" w:type="auto"/>
        <w:tblLook w:val="04A0" w:firstRow="1" w:lastRow="0" w:firstColumn="1" w:lastColumn="0" w:noHBand="0" w:noVBand="1"/>
      </w:tblPr>
      <w:tblGrid>
        <w:gridCol w:w="2547"/>
        <w:gridCol w:w="1535"/>
        <w:gridCol w:w="9238"/>
        <w:gridCol w:w="1985"/>
        <w:gridCol w:w="26"/>
      </w:tblGrid>
      <w:tr w:rsidR="00E03946" w14:paraId="39BA2300" w14:textId="77777777" w:rsidTr="00C055F8">
        <w:trPr>
          <w:tblHeader/>
        </w:trPr>
        <w:tc>
          <w:tcPr>
            <w:tcW w:w="15331" w:type="dxa"/>
            <w:gridSpan w:val="5"/>
            <w:shd w:val="clear" w:color="auto" w:fill="548DD4" w:themeFill="text2" w:themeFillTint="99"/>
          </w:tcPr>
          <w:p w14:paraId="39BA22FF" w14:textId="77777777" w:rsidR="00C055F8" w:rsidRPr="00005F74" w:rsidRDefault="00F24962">
            <w:pPr>
              <w:rPr>
                <w:rFonts w:cstheme="minorHAnsi"/>
                <w:b/>
                <w:color w:val="FFFFFF" w:themeColor="background1"/>
                <w:sz w:val="28"/>
                <w:szCs w:val="28"/>
                <w:lang w:val="en-US"/>
              </w:rPr>
            </w:pPr>
            <w:r w:rsidRPr="00005F74">
              <w:rPr>
                <w:rFonts w:cstheme="minorHAnsi"/>
                <w:b/>
                <w:color w:val="FFFFFF" w:themeColor="background1"/>
                <w:sz w:val="28"/>
                <w:szCs w:val="28"/>
                <w:lang w:val="en-US"/>
              </w:rPr>
              <w:lastRenderedPageBreak/>
              <w:t xml:space="preserve">An Exemplary Council </w:t>
            </w:r>
          </w:p>
        </w:tc>
      </w:tr>
      <w:tr w:rsidR="00E03946" w14:paraId="39BA2305" w14:textId="77777777" w:rsidTr="00C055F8">
        <w:trPr>
          <w:gridAfter w:val="1"/>
          <w:wAfter w:w="26" w:type="dxa"/>
          <w:tblHeader/>
        </w:trPr>
        <w:tc>
          <w:tcPr>
            <w:tcW w:w="2547" w:type="dxa"/>
            <w:shd w:val="clear" w:color="auto" w:fill="808080" w:themeFill="background1" w:themeFillShade="80"/>
          </w:tcPr>
          <w:p w14:paraId="39BA2301" w14:textId="77777777" w:rsidR="00C055F8" w:rsidRPr="00005F74" w:rsidRDefault="00F24962">
            <w:pPr>
              <w:rPr>
                <w:rFonts w:cstheme="minorHAnsi"/>
                <w:b/>
                <w:color w:val="FFFFFF" w:themeColor="background1"/>
                <w:lang w:val="en-US"/>
              </w:rPr>
            </w:pPr>
            <w:r w:rsidRPr="00005F74">
              <w:rPr>
                <w:rFonts w:cstheme="minorHAnsi"/>
                <w:b/>
                <w:color w:val="FFFFFF" w:themeColor="background1"/>
                <w:lang w:val="en-US"/>
              </w:rPr>
              <w:t>Project</w:t>
            </w:r>
          </w:p>
        </w:tc>
        <w:tc>
          <w:tcPr>
            <w:tcW w:w="1535" w:type="dxa"/>
            <w:shd w:val="clear" w:color="auto" w:fill="808080" w:themeFill="background1" w:themeFillShade="80"/>
          </w:tcPr>
          <w:p w14:paraId="39BA2302" w14:textId="77777777" w:rsidR="00C055F8" w:rsidRPr="00005F74" w:rsidRDefault="00F24962">
            <w:pPr>
              <w:rPr>
                <w:rFonts w:cstheme="minorHAnsi"/>
                <w:b/>
                <w:color w:val="FFFFFF" w:themeColor="background1"/>
                <w:lang w:val="en-US"/>
              </w:rPr>
            </w:pPr>
            <w:r w:rsidRPr="00005F74">
              <w:rPr>
                <w:rFonts w:cstheme="minorHAnsi"/>
                <w:b/>
                <w:color w:val="FFFFFF" w:themeColor="background1"/>
                <w:lang w:val="en-US"/>
              </w:rPr>
              <w:t>Status Q2</w:t>
            </w:r>
          </w:p>
        </w:tc>
        <w:tc>
          <w:tcPr>
            <w:tcW w:w="9238" w:type="dxa"/>
            <w:shd w:val="clear" w:color="auto" w:fill="808080" w:themeFill="background1" w:themeFillShade="80"/>
          </w:tcPr>
          <w:p w14:paraId="39BA2303" w14:textId="77777777" w:rsidR="00C055F8" w:rsidRPr="00005F74" w:rsidRDefault="00F24962">
            <w:pPr>
              <w:rPr>
                <w:rFonts w:cstheme="minorHAnsi"/>
                <w:b/>
                <w:color w:val="FFFFFF" w:themeColor="background1"/>
                <w:lang w:val="en-US"/>
              </w:rPr>
            </w:pPr>
            <w:r w:rsidRPr="00005F74">
              <w:rPr>
                <w:rFonts w:cstheme="minorHAnsi"/>
                <w:b/>
                <w:color w:val="FFFFFF" w:themeColor="background1"/>
                <w:lang w:val="en-US"/>
              </w:rPr>
              <w:t>Position Statement (Q2)</w:t>
            </w:r>
          </w:p>
        </w:tc>
        <w:tc>
          <w:tcPr>
            <w:tcW w:w="1985" w:type="dxa"/>
            <w:shd w:val="clear" w:color="auto" w:fill="808080" w:themeFill="background1" w:themeFillShade="80"/>
          </w:tcPr>
          <w:p w14:paraId="39BA2304" w14:textId="77777777" w:rsidR="00C055F8" w:rsidRPr="00005F74" w:rsidRDefault="00F24962">
            <w:pPr>
              <w:rPr>
                <w:rFonts w:cstheme="minorHAnsi"/>
                <w:b/>
                <w:color w:val="FFFFFF" w:themeColor="background1"/>
                <w:lang w:val="en-US"/>
              </w:rPr>
            </w:pPr>
            <w:r w:rsidRPr="00005F74">
              <w:rPr>
                <w:rFonts w:cstheme="minorHAnsi"/>
                <w:b/>
                <w:color w:val="FFFFFF" w:themeColor="background1"/>
                <w:lang w:val="en-US"/>
              </w:rPr>
              <w:t xml:space="preserve">Completion Date </w:t>
            </w:r>
          </w:p>
        </w:tc>
      </w:tr>
      <w:tr w:rsidR="00E03946" w14:paraId="39BA230B" w14:textId="77777777" w:rsidTr="00C055F8">
        <w:trPr>
          <w:gridAfter w:val="1"/>
          <w:wAfter w:w="26" w:type="dxa"/>
          <w:trHeight w:val="1268"/>
        </w:trPr>
        <w:tc>
          <w:tcPr>
            <w:tcW w:w="2547" w:type="dxa"/>
            <w:vMerge w:val="restart"/>
          </w:tcPr>
          <w:p w14:paraId="39BA2306" w14:textId="77777777" w:rsidR="00C055F8" w:rsidRPr="00005F74" w:rsidRDefault="00F24962">
            <w:pPr>
              <w:rPr>
                <w:rFonts w:cstheme="minorHAnsi"/>
                <w:b/>
                <w:color w:val="000000" w:themeColor="text1"/>
                <w:lang w:val="en-US"/>
              </w:rPr>
            </w:pPr>
            <w:r w:rsidRPr="00005F74">
              <w:rPr>
                <w:rFonts w:cstheme="minorHAnsi"/>
                <w:b/>
                <w:color w:val="000000" w:themeColor="text1"/>
                <w:lang w:val="en-US"/>
              </w:rPr>
              <w:t>Deliver the Annual Governance Statement Action Plan</w:t>
            </w:r>
          </w:p>
        </w:tc>
        <w:tc>
          <w:tcPr>
            <w:tcW w:w="1535" w:type="dxa"/>
            <w:shd w:val="clear" w:color="auto" w:fill="0070C0"/>
            <w:vAlign w:val="center"/>
          </w:tcPr>
          <w:p w14:paraId="39BA2307" w14:textId="77777777" w:rsidR="00C055F8" w:rsidRPr="00005F74" w:rsidRDefault="00F24962" w:rsidP="00C055F8">
            <w:pPr>
              <w:jc w:val="center"/>
              <w:rPr>
                <w:rFonts w:cstheme="minorHAnsi"/>
                <w:b/>
                <w:color w:val="FFFFFF" w:themeColor="background1"/>
                <w:lang w:val="en-US"/>
              </w:rPr>
            </w:pPr>
            <w:r w:rsidRPr="00005F74">
              <w:rPr>
                <w:rFonts w:cstheme="minorHAnsi"/>
                <w:b/>
                <w:color w:val="FFFFFF" w:themeColor="background1"/>
                <w:lang w:val="en-US"/>
              </w:rPr>
              <w:t>Completed</w:t>
            </w:r>
          </w:p>
        </w:tc>
        <w:tc>
          <w:tcPr>
            <w:tcW w:w="9238" w:type="dxa"/>
            <w:vMerge w:val="restart"/>
          </w:tcPr>
          <w:p w14:paraId="39BA2308" w14:textId="77777777" w:rsidR="00C055F8" w:rsidRDefault="00F24962">
            <w:pPr>
              <w:rPr>
                <w:rFonts w:cstheme="minorHAnsi"/>
                <w:bCs/>
                <w:color w:val="000000" w:themeColor="text1"/>
                <w:lang w:val="en-US"/>
              </w:rPr>
            </w:pPr>
            <w:r w:rsidRPr="00005F74">
              <w:rPr>
                <w:rFonts w:cstheme="minorHAnsi"/>
                <w:bCs/>
                <w:color w:val="000000" w:themeColor="text1"/>
                <w:lang w:val="en-US"/>
              </w:rPr>
              <w:t>The Annual Governance Statement (AGS) action plan project has been completed with all key milestone</w:t>
            </w:r>
            <w:r>
              <w:rPr>
                <w:rFonts w:cstheme="minorHAnsi"/>
                <w:bCs/>
                <w:color w:val="000000" w:themeColor="text1"/>
                <w:lang w:val="en-US"/>
              </w:rPr>
              <w:t>s</w:t>
            </w:r>
            <w:r w:rsidRPr="00005F74">
              <w:rPr>
                <w:rFonts w:cstheme="minorHAnsi"/>
                <w:bCs/>
                <w:color w:val="000000" w:themeColor="text1"/>
                <w:lang w:val="en-US"/>
              </w:rPr>
              <w:t xml:space="preserve"> being delivered.  The project has delivered an updated constitution; refreshed governance, performance management and human resources policies; a consistent approach to community engagement and consultation through the Consultation Framework and Community</w:t>
            </w:r>
            <w:r w:rsidRPr="00005F74">
              <w:rPr>
                <w:rFonts w:cstheme="minorHAnsi"/>
                <w:bCs/>
                <w:color w:val="000000" w:themeColor="text1"/>
                <w:lang w:val="en-US"/>
              </w:rPr>
              <w:t xml:space="preserve"> Engagement Strategy; and a robust approach to managing strategic contracts and partnerships through the Partnership Framework. Overall, the actions in place will ensure that the council is a transparent, accountable organisation with an improved governanc</w:t>
            </w:r>
            <w:r w:rsidRPr="00005F74">
              <w:rPr>
                <w:rFonts w:cstheme="minorHAnsi"/>
                <w:bCs/>
                <w:color w:val="000000" w:themeColor="text1"/>
                <w:lang w:val="en-US"/>
              </w:rPr>
              <w:t>e culture and environment.</w:t>
            </w:r>
          </w:p>
        </w:tc>
        <w:tc>
          <w:tcPr>
            <w:tcW w:w="1985" w:type="dxa"/>
            <w:vMerge w:val="restart"/>
          </w:tcPr>
          <w:p w14:paraId="39BA2309" w14:textId="77777777" w:rsidR="00C055F8" w:rsidRDefault="00F24962">
            <w:pPr>
              <w:rPr>
                <w:rFonts w:cstheme="minorHAnsi"/>
                <w:bCs/>
                <w:color w:val="000000" w:themeColor="text1"/>
                <w:lang w:val="en-US"/>
              </w:rPr>
            </w:pPr>
            <w:r>
              <w:rPr>
                <w:rFonts w:cstheme="minorHAnsi"/>
                <w:bCs/>
                <w:color w:val="000000" w:themeColor="text1"/>
                <w:lang w:val="en-US"/>
              </w:rPr>
              <w:t>Completed</w:t>
            </w:r>
          </w:p>
          <w:p w14:paraId="39BA230A" w14:textId="77777777" w:rsidR="00C055F8" w:rsidRDefault="00F24962">
            <w:pPr>
              <w:rPr>
                <w:rFonts w:cstheme="minorHAnsi"/>
                <w:bCs/>
                <w:color w:val="000000" w:themeColor="text1"/>
                <w:lang w:val="en-US"/>
              </w:rPr>
            </w:pPr>
            <w:r>
              <w:rPr>
                <w:rFonts w:cstheme="minorHAnsi"/>
                <w:bCs/>
                <w:color w:val="000000" w:themeColor="text1"/>
                <w:lang w:val="en-US"/>
              </w:rPr>
              <w:t>September 2021</w:t>
            </w:r>
          </w:p>
        </w:tc>
      </w:tr>
      <w:tr w:rsidR="00E03946" w14:paraId="39BA2310" w14:textId="77777777" w:rsidTr="00C055F8">
        <w:trPr>
          <w:gridAfter w:val="1"/>
          <w:wAfter w:w="26" w:type="dxa"/>
          <w:trHeight w:val="1022"/>
        </w:trPr>
        <w:tc>
          <w:tcPr>
            <w:tcW w:w="2547" w:type="dxa"/>
            <w:vMerge/>
          </w:tcPr>
          <w:p w14:paraId="39BA230C" w14:textId="77777777" w:rsidR="00C055F8" w:rsidRPr="00005F74" w:rsidRDefault="00F24962">
            <w:pPr>
              <w:rPr>
                <w:rFonts w:cstheme="minorHAnsi"/>
                <w:bCs/>
                <w:color w:val="000000" w:themeColor="text1"/>
                <w:lang w:val="en-US"/>
              </w:rPr>
            </w:pPr>
          </w:p>
        </w:tc>
        <w:tc>
          <w:tcPr>
            <w:tcW w:w="1535" w:type="dxa"/>
          </w:tcPr>
          <w:p w14:paraId="39BA230D" w14:textId="77777777" w:rsidR="00C055F8" w:rsidRDefault="00F24962">
            <w:pPr>
              <w:rPr>
                <w:rFonts w:cstheme="minorHAnsi"/>
                <w:bCs/>
                <w:color w:val="000000" w:themeColor="text1"/>
                <w:lang w:val="en-US"/>
              </w:rPr>
            </w:pPr>
          </w:p>
        </w:tc>
        <w:tc>
          <w:tcPr>
            <w:tcW w:w="9238" w:type="dxa"/>
            <w:vMerge/>
          </w:tcPr>
          <w:p w14:paraId="39BA230E" w14:textId="77777777" w:rsidR="00C055F8" w:rsidRPr="00005F74" w:rsidRDefault="00F24962">
            <w:pPr>
              <w:rPr>
                <w:rFonts w:cstheme="minorHAnsi"/>
                <w:bCs/>
                <w:color w:val="000000" w:themeColor="text1"/>
                <w:lang w:val="en-US"/>
              </w:rPr>
            </w:pPr>
          </w:p>
        </w:tc>
        <w:tc>
          <w:tcPr>
            <w:tcW w:w="1985" w:type="dxa"/>
            <w:vMerge/>
          </w:tcPr>
          <w:p w14:paraId="39BA230F" w14:textId="77777777" w:rsidR="00C055F8" w:rsidRDefault="00F24962">
            <w:pPr>
              <w:rPr>
                <w:rFonts w:cstheme="minorHAnsi"/>
                <w:bCs/>
                <w:color w:val="000000" w:themeColor="text1"/>
                <w:lang w:val="en-US"/>
              </w:rPr>
            </w:pPr>
          </w:p>
        </w:tc>
      </w:tr>
      <w:tr w:rsidR="00E03946" w14:paraId="39BA2318" w14:textId="77777777" w:rsidTr="00C055F8">
        <w:trPr>
          <w:gridAfter w:val="1"/>
          <w:wAfter w:w="26" w:type="dxa"/>
          <w:trHeight w:val="1395"/>
        </w:trPr>
        <w:tc>
          <w:tcPr>
            <w:tcW w:w="2547" w:type="dxa"/>
            <w:vMerge w:val="restart"/>
          </w:tcPr>
          <w:p w14:paraId="39BA2311" w14:textId="77777777" w:rsidR="00C055F8" w:rsidRPr="00005F74" w:rsidRDefault="00F24962" w:rsidP="00C055F8">
            <w:pPr>
              <w:rPr>
                <w:rFonts w:cstheme="minorHAnsi"/>
                <w:b/>
                <w:color w:val="000000" w:themeColor="text1"/>
                <w:lang w:val="en-US"/>
              </w:rPr>
            </w:pPr>
            <w:r w:rsidRPr="00005F74">
              <w:rPr>
                <w:rFonts w:cstheme="minorHAnsi"/>
                <w:b/>
                <w:color w:val="000000" w:themeColor="text1"/>
                <w:lang w:val="en-US"/>
              </w:rPr>
              <w:t>Transform the way the council operates</w:t>
            </w:r>
          </w:p>
        </w:tc>
        <w:tc>
          <w:tcPr>
            <w:tcW w:w="1535" w:type="dxa"/>
            <w:shd w:val="clear" w:color="auto" w:fill="92D050"/>
            <w:vAlign w:val="center"/>
          </w:tcPr>
          <w:p w14:paraId="39BA2312" w14:textId="77777777" w:rsidR="00C055F8" w:rsidRPr="00F1025C" w:rsidRDefault="00F24962" w:rsidP="00C055F8">
            <w:pPr>
              <w:jc w:val="center"/>
              <w:rPr>
                <w:rFonts w:cstheme="minorHAnsi"/>
                <w:b/>
                <w:color w:val="FFFFFF" w:themeColor="background1"/>
                <w:lang w:val="en-US"/>
              </w:rPr>
            </w:pPr>
            <w:r w:rsidRPr="00F1025C">
              <w:rPr>
                <w:rFonts w:cstheme="minorHAnsi"/>
                <w:b/>
                <w:color w:val="FFFFFF" w:themeColor="background1"/>
                <w:lang w:val="en-US"/>
              </w:rPr>
              <w:t>Green</w:t>
            </w:r>
          </w:p>
        </w:tc>
        <w:tc>
          <w:tcPr>
            <w:tcW w:w="9238" w:type="dxa"/>
            <w:vMerge w:val="restart"/>
          </w:tcPr>
          <w:p w14:paraId="39BA2313" w14:textId="77777777" w:rsidR="00C055F8" w:rsidRPr="00E16B30" w:rsidRDefault="00F24962" w:rsidP="00C055F8">
            <w:pPr>
              <w:rPr>
                <w:rFonts w:cstheme="minorHAnsi"/>
                <w:bCs/>
                <w:color w:val="000000" w:themeColor="text1"/>
                <w:lang w:val="en-US"/>
              </w:rPr>
            </w:pPr>
            <w:r w:rsidRPr="00E16B30">
              <w:rPr>
                <w:rFonts w:cstheme="minorHAnsi"/>
                <w:bCs/>
                <w:color w:val="000000" w:themeColor="text1"/>
                <w:lang w:val="en-US"/>
              </w:rPr>
              <w:t xml:space="preserve">The Phase 2 extension of Shared </w:t>
            </w:r>
            <w:r w:rsidRPr="00E16B30">
              <w:rPr>
                <w:rFonts w:cstheme="minorHAnsi"/>
                <w:bCs/>
                <w:color w:val="000000" w:themeColor="text1"/>
                <w:lang w:val="en-US"/>
              </w:rPr>
              <w:t xml:space="preserve">Services between Chorley and South Ribble commenced in November 2020, with the approval of proposals for a Shared Senior Management Team, Shared ICT, and Shared Customer Services and Revenue &amp; Benefits services. </w:t>
            </w:r>
          </w:p>
          <w:p w14:paraId="39BA2314" w14:textId="77777777" w:rsidR="00C055F8" w:rsidRPr="00E16B30" w:rsidRDefault="00F24962" w:rsidP="00C055F8">
            <w:pPr>
              <w:rPr>
                <w:rFonts w:cstheme="minorHAnsi"/>
                <w:bCs/>
                <w:color w:val="000000" w:themeColor="text1"/>
                <w:lang w:val="en-US"/>
              </w:rPr>
            </w:pPr>
          </w:p>
          <w:p w14:paraId="39BA2315" w14:textId="77777777" w:rsidR="00C055F8" w:rsidRDefault="00F24962" w:rsidP="00C055F8">
            <w:pPr>
              <w:rPr>
                <w:rFonts w:cstheme="minorHAnsi"/>
                <w:bCs/>
                <w:color w:val="000000" w:themeColor="text1"/>
                <w:lang w:val="en-US"/>
              </w:rPr>
            </w:pPr>
            <w:r w:rsidRPr="00E16B30">
              <w:rPr>
                <w:rFonts w:cstheme="minorHAnsi"/>
                <w:bCs/>
                <w:color w:val="000000" w:themeColor="text1"/>
                <w:lang w:val="en-US"/>
              </w:rPr>
              <w:t xml:space="preserve">The shared Directors and </w:t>
            </w:r>
            <w:r>
              <w:rPr>
                <w:rFonts w:cstheme="minorHAnsi"/>
                <w:bCs/>
                <w:color w:val="000000" w:themeColor="text1"/>
                <w:lang w:val="en-US"/>
              </w:rPr>
              <w:t>shared</w:t>
            </w:r>
            <w:r w:rsidRPr="00E16B30">
              <w:rPr>
                <w:rFonts w:cstheme="minorHAnsi"/>
                <w:bCs/>
                <w:color w:val="000000" w:themeColor="text1"/>
                <w:lang w:val="en-US"/>
              </w:rPr>
              <w:t xml:space="preserve"> senior man</w:t>
            </w:r>
            <w:r w:rsidRPr="00E16B30">
              <w:rPr>
                <w:rFonts w:cstheme="minorHAnsi"/>
                <w:bCs/>
                <w:color w:val="000000" w:themeColor="text1"/>
                <w:lang w:val="en-US"/>
              </w:rPr>
              <w:t xml:space="preserve">agement team were established in January 2021, following which the reviews for the ICT and Customer Services teams began. Informal consultation, engagement with staff and the </w:t>
            </w:r>
            <w:r>
              <w:rPr>
                <w:rFonts w:cstheme="minorHAnsi"/>
                <w:bCs/>
                <w:color w:val="000000" w:themeColor="text1"/>
                <w:lang w:val="en-US"/>
              </w:rPr>
              <w:t>u</w:t>
            </w:r>
            <w:r w:rsidRPr="00E16B30">
              <w:rPr>
                <w:rFonts w:cstheme="minorHAnsi"/>
                <w:bCs/>
                <w:color w:val="000000" w:themeColor="text1"/>
                <w:lang w:val="en-US"/>
              </w:rPr>
              <w:t>nion, and a desktop evaluation of the services, led to proposals for the managem</w:t>
            </w:r>
            <w:r w:rsidRPr="00E16B30">
              <w:rPr>
                <w:rFonts w:cstheme="minorHAnsi"/>
                <w:bCs/>
                <w:color w:val="000000" w:themeColor="text1"/>
                <w:lang w:val="en-US"/>
              </w:rPr>
              <w:t>ent of the ICT service to be presented for formal consultation in March 2021, and implementation in April and May. The second stage of the review included proposals for a shared structure for the rest of the service, which were presented in August 2021, wi</w:t>
            </w:r>
            <w:r w:rsidRPr="00E16B30">
              <w:rPr>
                <w:rFonts w:cstheme="minorHAnsi"/>
                <w:bCs/>
                <w:color w:val="000000" w:themeColor="text1"/>
                <w:lang w:val="en-US"/>
              </w:rPr>
              <w:t>th implementation of the full shared service in November. Proposals for the Customer Services and Revenue &amp; Benefits management team, alongside the shared model for customer services, were presented for formal consultation in June 2021, with implementation</w:t>
            </w:r>
            <w:r w:rsidRPr="00E16B30">
              <w:rPr>
                <w:rFonts w:cstheme="minorHAnsi"/>
                <w:bCs/>
                <w:color w:val="000000" w:themeColor="text1"/>
                <w:lang w:val="en-US"/>
              </w:rPr>
              <w:t xml:space="preserve"> of the new shared roles in September and October. Proposals for the rest of the service structure are due to be presented in November, with implementation expected in January 2022.  </w:t>
            </w:r>
          </w:p>
          <w:p w14:paraId="39BA2316" w14:textId="77777777" w:rsidR="00C055F8" w:rsidRDefault="00F24962" w:rsidP="00C055F8">
            <w:pPr>
              <w:rPr>
                <w:rFonts w:cstheme="minorHAnsi"/>
                <w:bCs/>
                <w:color w:val="000000" w:themeColor="text1"/>
                <w:lang w:val="en-US"/>
              </w:rPr>
            </w:pPr>
          </w:p>
        </w:tc>
        <w:tc>
          <w:tcPr>
            <w:tcW w:w="1985" w:type="dxa"/>
            <w:vMerge w:val="restart"/>
          </w:tcPr>
          <w:p w14:paraId="39BA2317" w14:textId="77777777" w:rsidR="00C055F8" w:rsidRDefault="00F24962" w:rsidP="00C055F8">
            <w:pPr>
              <w:rPr>
                <w:rFonts w:cstheme="minorHAnsi"/>
                <w:bCs/>
                <w:color w:val="000000" w:themeColor="text1"/>
                <w:lang w:val="en-US"/>
              </w:rPr>
            </w:pPr>
            <w:r>
              <w:rPr>
                <w:rFonts w:cs="Arial"/>
              </w:rPr>
              <w:t>This project will be completed by March 2022 and move in to the next ph</w:t>
            </w:r>
            <w:r>
              <w:rPr>
                <w:rFonts w:cs="Arial"/>
              </w:rPr>
              <w:t xml:space="preserve">ase. </w:t>
            </w:r>
          </w:p>
        </w:tc>
      </w:tr>
      <w:tr w:rsidR="00E03946" w14:paraId="39BA231D" w14:textId="77777777" w:rsidTr="00C055F8">
        <w:trPr>
          <w:gridAfter w:val="1"/>
          <w:wAfter w:w="26" w:type="dxa"/>
          <w:trHeight w:val="1395"/>
        </w:trPr>
        <w:tc>
          <w:tcPr>
            <w:tcW w:w="2547" w:type="dxa"/>
            <w:vMerge/>
          </w:tcPr>
          <w:p w14:paraId="39BA2319" w14:textId="77777777" w:rsidR="00C055F8" w:rsidRPr="00005F74" w:rsidRDefault="00F24962" w:rsidP="00C055F8">
            <w:pPr>
              <w:rPr>
                <w:rFonts w:cstheme="minorHAnsi"/>
                <w:b/>
                <w:color w:val="000000" w:themeColor="text1"/>
                <w:lang w:val="en-US"/>
              </w:rPr>
            </w:pPr>
          </w:p>
        </w:tc>
        <w:tc>
          <w:tcPr>
            <w:tcW w:w="1535" w:type="dxa"/>
          </w:tcPr>
          <w:p w14:paraId="39BA231A" w14:textId="77777777" w:rsidR="00C055F8" w:rsidRDefault="00F24962" w:rsidP="00C055F8">
            <w:pPr>
              <w:rPr>
                <w:rFonts w:cstheme="minorHAnsi"/>
                <w:bCs/>
                <w:color w:val="000000" w:themeColor="text1"/>
                <w:lang w:val="en-US"/>
              </w:rPr>
            </w:pPr>
          </w:p>
        </w:tc>
        <w:tc>
          <w:tcPr>
            <w:tcW w:w="9238" w:type="dxa"/>
            <w:vMerge/>
          </w:tcPr>
          <w:p w14:paraId="39BA231B" w14:textId="77777777" w:rsidR="00C055F8" w:rsidRPr="00BF31AA" w:rsidRDefault="00F24962" w:rsidP="00C055F8"/>
        </w:tc>
        <w:tc>
          <w:tcPr>
            <w:tcW w:w="1985" w:type="dxa"/>
            <w:vMerge/>
            <w:vAlign w:val="center"/>
          </w:tcPr>
          <w:p w14:paraId="39BA231C" w14:textId="77777777" w:rsidR="00C055F8" w:rsidRDefault="00F24962" w:rsidP="00C055F8">
            <w:pPr>
              <w:rPr>
                <w:rFonts w:cs="Arial"/>
              </w:rPr>
            </w:pPr>
          </w:p>
        </w:tc>
      </w:tr>
      <w:tr w:rsidR="00E03946" w14:paraId="39BA2323" w14:textId="77777777" w:rsidTr="00C055F8">
        <w:trPr>
          <w:gridAfter w:val="1"/>
          <w:wAfter w:w="26" w:type="dxa"/>
          <w:trHeight w:val="1361"/>
        </w:trPr>
        <w:tc>
          <w:tcPr>
            <w:tcW w:w="2547" w:type="dxa"/>
            <w:vMerge w:val="restart"/>
          </w:tcPr>
          <w:p w14:paraId="39BA231E" w14:textId="77777777" w:rsidR="00C055F8" w:rsidRPr="00005F74" w:rsidRDefault="00F24962">
            <w:pPr>
              <w:rPr>
                <w:rFonts w:cstheme="minorHAnsi"/>
                <w:b/>
                <w:color w:val="000000" w:themeColor="text1"/>
                <w:lang w:val="en-US"/>
              </w:rPr>
            </w:pPr>
            <w:r w:rsidRPr="00005F74">
              <w:rPr>
                <w:rFonts w:cstheme="minorHAnsi"/>
                <w:b/>
                <w:color w:val="000000" w:themeColor="text1"/>
                <w:lang w:val="en-US"/>
              </w:rPr>
              <w:t>Work with partners to design and deliver better public service</w:t>
            </w:r>
          </w:p>
        </w:tc>
        <w:tc>
          <w:tcPr>
            <w:tcW w:w="1535" w:type="dxa"/>
            <w:shd w:val="clear" w:color="auto" w:fill="0070C0"/>
            <w:vAlign w:val="center"/>
          </w:tcPr>
          <w:p w14:paraId="39BA231F" w14:textId="77777777" w:rsidR="00C055F8" w:rsidRPr="00005F74" w:rsidRDefault="00F24962" w:rsidP="00C055F8">
            <w:pPr>
              <w:jc w:val="center"/>
              <w:rPr>
                <w:rFonts w:cstheme="minorHAnsi"/>
                <w:b/>
                <w:color w:val="FFFFFF" w:themeColor="background1"/>
                <w:lang w:val="en-US"/>
              </w:rPr>
            </w:pPr>
            <w:r w:rsidRPr="00005F74">
              <w:rPr>
                <w:rFonts w:cstheme="minorHAnsi"/>
                <w:b/>
                <w:color w:val="FFFFFF" w:themeColor="background1"/>
                <w:lang w:val="en-US"/>
              </w:rPr>
              <w:t>Completed</w:t>
            </w:r>
          </w:p>
        </w:tc>
        <w:tc>
          <w:tcPr>
            <w:tcW w:w="9238" w:type="dxa"/>
            <w:vMerge w:val="restart"/>
          </w:tcPr>
          <w:p w14:paraId="39BA2320" w14:textId="77777777" w:rsidR="00C055F8" w:rsidRDefault="00F24962">
            <w:pPr>
              <w:rPr>
                <w:rFonts w:cstheme="minorHAnsi"/>
                <w:bCs/>
                <w:color w:val="000000" w:themeColor="text1"/>
                <w:lang w:val="en-US"/>
              </w:rPr>
            </w:pPr>
            <w:r w:rsidRPr="00005F74">
              <w:rPr>
                <w:rFonts w:cstheme="minorHAnsi"/>
                <w:bCs/>
                <w:color w:val="000000" w:themeColor="text1"/>
                <w:lang w:val="en-US"/>
              </w:rPr>
              <w:t>The programme</w:t>
            </w:r>
            <w:r w:rsidRPr="00005F74">
              <w:rPr>
                <w:rFonts w:cstheme="minorHAnsi"/>
                <w:bCs/>
                <w:color w:val="000000" w:themeColor="text1"/>
                <w:lang w:val="en-US"/>
              </w:rPr>
              <w:t xml:space="preserve"> of activity to work with partners to design and deliver better public services has now completed. On 15 September, the newly established Chorley and South Ribble Partnership met for the first time, with new governance arrangements, a defined strategy and </w:t>
            </w:r>
            <w:r w:rsidRPr="00005F74">
              <w:rPr>
                <w:rFonts w:cstheme="minorHAnsi"/>
                <w:bCs/>
                <w:color w:val="000000" w:themeColor="text1"/>
                <w:lang w:val="en-US"/>
              </w:rPr>
              <w:t xml:space="preserve">action plan. The strategy had been developed over a period of nine months, and represents a consensus across partners on where there should be a collective focus. The </w:t>
            </w:r>
            <w:r w:rsidRPr="00005F74">
              <w:rPr>
                <w:rFonts w:cstheme="minorHAnsi"/>
                <w:bCs/>
                <w:color w:val="000000" w:themeColor="text1"/>
                <w:lang w:val="en-US"/>
              </w:rPr>
              <w:lastRenderedPageBreak/>
              <w:t>Partnership will be developing with partners a locality model which shapes the way servic</w:t>
            </w:r>
            <w:r w:rsidRPr="00005F74">
              <w:rPr>
                <w:rFonts w:cstheme="minorHAnsi"/>
                <w:bCs/>
                <w:color w:val="000000" w:themeColor="text1"/>
                <w:lang w:val="en-US"/>
              </w:rPr>
              <w:t>es work with each other as well as continuing to build on the benefits of sharing data to improve performance and the application of resources. The first major piece of work being undertaken is a summit in November 2021 on the economy which will see a numb</w:t>
            </w:r>
            <w:r w:rsidRPr="00005F74">
              <w:rPr>
                <w:rFonts w:cstheme="minorHAnsi"/>
                <w:bCs/>
                <w:color w:val="000000" w:themeColor="text1"/>
                <w:lang w:val="en-US"/>
              </w:rPr>
              <w:t>er of key leaders and experts brought to together to identify the recommendations that the Partnership should take forward to support the economy as it recovers from the impact of the pandemic.</w:t>
            </w:r>
          </w:p>
        </w:tc>
        <w:tc>
          <w:tcPr>
            <w:tcW w:w="1985" w:type="dxa"/>
            <w:vMerge w:val="restart"/>
          </w:tcPr>
          <w:p w14:paraId="39BA2321" w14:textId="77777777" w:rsidR="00C055F8" w:rsidRPr="00AB2DF2" w:rsidRDefault="00F24962" w:rsidP="00C055F8">
            <w:pPr>
              <w:rPr>
                <w:rFonts w:cs="Arial"/>
              </w:rPr>
            </w:pPr>
            <w:r w:rsidRPr="00AB2DF2">
              <w:rPr>
                <w:rFonts w:cs="Arial"/>
              </w:rPr>
              <w:lastRenderedPageBreak/>
              <w:t>Completed</w:t>
            </w:r>
          </w:p>
          <w:p w14:paraId="39BA2322" w14:textId="77777777" w:rsidR="00C055F8" w:rsidRDefault="00F24962" w:rsidP="00C055F8">
            <w:pPr>
              <w:rPr>
                <w:rFonts w:cstheme="minorHAnsi"/>
                <w:bCs/>
                <w:color w:val="000000" w:themeColor="text1"/>
                <w:lang w:val="en-US"/>
              </w:rPr>
            </w:pPr>
            <w:r w:rsidRPr="00AB2DF2">
              <w:rPr>
                <w:rFonts w:cs="Arial"/>
              </w:rPr>
              <w:t>September 2021</w:t>
            </w:r>
          </w:p>
        </w:tc>
      </w:tr>
      <w:tr w:rsidR="00E03946" w14:paraId="39BA2328" w14:textId="77777777" w:rsidTr="00C055F8">
        <w:trPr>
          <w:gridAfter w:val="1"/>
          <w:wAfter w:w="26" w:type="dxa"/>
          <w:trHeight w:val="1770"/>
        </w:trPr>
        <w:tc>
          <w:tcPr>
            <w:tcW w:w="2547" w:type="dxa"/>
            <w:vMerge/>
          </w:tcPr>
          <w:p w14:paraId="39BA2324" w14:textId="77777777" w:rsidR="00C055F8" w:rsidRPr="00005F74" w:rsidRDefault="00F24962">
            <w:pPr>
              <w:rPr>
                <w:rFonts w:cstheme="minorHAnsi"/>
                <w:bCs/>
                <w:color w:val="000000" w:themeColor="text1"/>
                <w:lang w:val="en-US"/>
              </w:rPr>
            </w:pPr>
          </w:p>
        </w:tc>
        <w:tc>
          <w:tcPr>
            <w:tcW w:w="1535" w:type="dxa"/>
          </w:tcPr>
          <w:p w14:paraId="39BA2325" w14:textId="77777777" w:rsidR="00C055F8" w:rsidRDefault="00F24962">
            <w:pPr>
              <w:rPr>
                <w:rFonts w:cstheme="minorHAnsi"/>
                <w:bCs/>
                <w:color w:val="000000" w:themeColor="text1"/>
                <w:lang w:val="en-US"/>
              </w:rPr>
            </w:pPr>
          </w:p>
        </w:tc>
        <w:tc>
          <w:tcPr>
            <w:tcW w:w="9238" w:type="dxa"/>
            <w:vMerge/>
          </w:tcPr>
          <w:p w14:paraId="39BA2326" w14:textId="77777777" w:rsidR="00C055F8" w:rsidRPr="00005F74" w:rsidRDefault="00F24962">
            <w:pPr>
              <w:rPr>
                <w:rFonts w:cstheme="minorHAnsi"/>
                <w:bCs/>
                <w:color w:val="000000" w:themeColor="text1"/>
                <w:lang w:val="en-US"/>
              </w:rPr>
            </w:pPr>
          </w:p>
        </w:tc>
        <w:tc>
          <w:tcPr>
            <w:tcW w:w="1985" w:type="dxa"/>
            <w:vMerge/>
          </w:tcPr>
          <w:p w14:paraId="39BA2327" w14:textId="77777777" w:rsidR="00C055F8" w:rsidRDefault="00F24962">
            <w:pPr>
              <w:rPr>
                <w:rFonts w:cstheme="minorHAnsi"/>
                <w:bCs/>
                <w:color w:val="000000" w:themeColor="text1"/>
                <w:lang w:val="en-US"/>
              </w:rPr>
            </w:pPr>
          </w:p>
        </w:tc>
      </w:tr>
      <w:tr w:rsidR="00E03946" w14:paraId="39BA232F" w14:textId="77777777" w:rsidTr="00C055F8">
        <w:trPr>
          <w:gridAfter w:val="1"/>
          <w:wAfter w:w="26" w:type="dxa"/>
          <w:trHeight w:val="1337"/>
        </w:trPr>
        <w:tc>
          <w:tcPr>
            <w:tcW w:w="2547" w:type="dxa"/>
            <w:vMerge w:val="restart"/>
          </w:tcPr>
          <w:p w14:paraId="39BA2329" w14:textId="77777777" w:rsidR="00C055F8" w:rsidRDefault="00F24962" w:rsidP="00C055F8">
            <w:pPr>
              <w:rPr>
                <w:rFonts w:cstheme="minorHAnsi"/>
                <w:bCs/>
                <w:color w:val="000000" w:themeColor="text1"/>
                <w:lang w:val="en-US"/>
              </w:rPr>
            </w:pPr>
            <w:r w:rsidRPr="0077663E">
              <w:rPr>
                <w:rFonts w:ascii="Arial" w:eastAsia="Times New Roman" w:hAnsi="Arial" w:cs="Arial"/>
                <w:b/>
                <w:bCs/>
                <w:szCs w:val="20"/>
                <w:lang w:eastAsia="en-GB"/>
              </w:rPr>
              <w:t xml:space="preserve">Deliver year one of the </w:t>
            </w:r>
            <w:r w:rsidRPr="0077663E">
              <w:rPr>
                <w:rFonts w:ascii="Arial" w:eastAsia="Times New Roman" w:hAnsi="Arial" w:cs="Arial"/>
                <w:b/>
                <w:bCs/>
                <w:szCs w:val="20"/>
                <w:lang w:eastAsia="en-GB"/>
              </w:rPr>
              <w:t>joint digital strategy</w:t>
            </w:r>
          </w:p>
        </w:tc>
        <w:tc>
          <w:tcPr>
            <w:tcW w:w="1535" w:type="dxa"/>
            <w:shd w:val="clear" w:color="auto" w:fill="FFC000"/>
            <w:vAlign w:val="center"/>
          </w:tcPr>
          <w:p w14:paraId="39BA232A" w14:textId="77777777" w:rsidR="00C055F8" w:rsidRPr="00F1025C" w:rsidRDefault="00F24962" w:rsidP="00C055F8">
            <w:pPr>
              <w:jc w:val="center"/>
              <w:rPr>
                <w:rFonts w:cstheme="minorHAnsi"/>
                <w:b/>
                <w:color w:val="000000" w:themeColor="text1"/>
                <w:lang w:val="en-US"/>
              </w:rPr>
            </w:pPr>
            <w:r w:rsidRPr="00F1025C">
              <w:rPr>
                <w:rFonts w:cstheme="minorHAnsi"/>
                <w:b/>
                <w:color w:val="FFFFFF" w:themeColor="background1"/>
                <w:lang w:val="en-US"/>
              </w:rPr>
              <w:t>Amber</w:t>
            </w:r>
          </w:p>
        </w:tc>
        <w:tc>
          <w:tcPr>
            <w:tcW w:w="9238" w:type="dxa"/>
            <w:vMerge w:val="restart"/>
          </w:tcPr>
          <w:p w14:paraId="39BA232B" w14:textId="77777777" w:rsidR="00C055F8" w:rsidRDefault="00F24962">
            <w:pPr>
              <w:rPr>
                <w:rFonts w:cstheme="minorHAnsi"/>
                <w:bCs/>
                <w:color w:val="000000" w:themeColor="text1"/>
                <w:lang w:val="en-US"/>
              </w:rPr>
            </w:pPr>
            <w:r>
              <w:rPr>
                <w:rFonts w:cstheme="minorHAnsi"/>
                <w:bCs/>
                <w:color w:val="000000" w:themeColor="text1"/>
                <w:lang w:val="en-US"/>
              </w:rPr>
              <w:t>Whilst the</w:t>
            </w:r>
            <w:r w:rsidRPr="00005F74">
              <w:rPr>
                <w:rFonts w:cstheme="minorHAnsi"/>
                <w:bCs/>
                <w:color w:val="000000" w:themeColor="text1"/>
                <w:lang w:val="en-US"/>
              </w:rPr>
              <w:t xml:space="preserve"> project has </w:t>
            </w:r>
            <w:r>
              <w:rPr>
                <w:rFonts w:cstheme="minorHAnsi"/>
                <w:bCs/>
                <w:color w:val="000000" w:themeColor="text1"/>
                <w:lang w:val="en-US"/>
              </w:rPr>
              <w:t>completed a number of</w:t>
            </w:r>
            <w:r>
              <w:rPr>
                <w:rFonts w:cstheme="minorHAnsi"/>
                <w:bCs/>
                <w:color w:val="000000" w:themeColor="text1"/>
                <w:lang w:val="en-US"/>
              </w:rPr>
              <w:t xml:space="preserve"> sub-projects within the strategy, there have been challenges with resourcing and capacity which has delayed overall the timeline for the programme</w:t>
            </w:r>
            <w:r w:rsidRPr="00005F74">
              <w:rPr>
                <w:rFonts w:cstheme="minorHAnsi"/>
                <w:bCs/>
                <w:color w:val="000000" w:themeColor="text1"/>
                <w:lang w:val="en-US"/>
              </w:rPr>
              <w:t>. There are existing vacancies within the ICT service across both authorities resulting in gaps in the essent</w:t>
            </w:r>
            <w:r w:rsidRPr="00005F74">
              <w:rPr>
                <w:rFonts w:cstheme="minorHAnsi"/>
                <w:bCs/>
                <w:color w:val="000000" w:themeColor="text1"/>
                <w:lang w:val="en-US"/>
              </w:rPr>
              <w:t>ial skills and knowledge required to support the delivery of the Joint Digital Strategy. The recruitment to these vacant posts was expected to take place in quarter two, however this has been delayed due to the extension of the formal consultation period o</w:t>
            </w:r>
            <w:r w:rsidRPr="00005F74">
              <w:rPr>
                <w:rFonts w:cstheme="minorHAnsi"/>
                <w:bCs/>
                <w:color w:val="000000" w:themeColor="text1"/>
                <w:lang w:val="en-US"/>
              </w:rPr>
              <w:t>f the shared service ICT review.</w:t>
            </w:r>
          </w:p>
          <w:p w14:paraId="39BA232C" w14:textId="77777777" w:rsidR="00C055F8" w:rsidRDefault="00F24962">
            <w:pPr>
              <w:rPr>
                <w:rFonts w:cstheme="minorHAnsi"/>
                <w:bCs/>
                <w:color w:val="000000" w:themeColor="text1"/>
                <w:lang w:val="en-US"/>
              </w:rPr>
            </w:pPr>
          </w:p>
          <w:p w14:paraId="39BA232D" w14:textId="77777777" w:rsidR="00C055F8" w:rsidRDefault="00F24962">
            <w:pPr>
              <w:rPr>
                <w:rFonts w:cstheme="minorHAnsi"/>
                <w:bCs/>
                <w:color w:val="000000" w:themeColor="text1"/>
                <w:lang w:val="en-US"/>
              </w:rPr>
            </w:pPr>
            <w:r w:rsidRPr="00005F74">
              <w:rPr>
                <w:rFonts w:cstheme="minorHAnsi"/>
                <w:bCs/>
                <w:color w:val="000000" w:themeColor="text1"/>
                <w:lang w:val="en-US"/>
              </w:rPr>
              <w:t xml:space="preserve">A full costing exercise </w:t>
            </w:r>
            <w:r>
              <w:rPr>
                <w:rFonts w:cstheme="minorHAnsi"/>
                <w:bCs/>
                <w:color w:val="000000" w:themeColor="text1"/>
                <w:lang w:val="en-US"/>
              </w:rPr>
              <w:t>is to be</w:t>
            </w:r>
            <w:r w:rsidRPr="00005F74">
              <w:rPr>
                <w:rFonts w:cstheme="minorHAnsi"/>
                <w:bCs/>
                <w:color w:val="000000" w:themeColor="text1"/>
                <w:lang w:val="en-US"/>
              </w:rPr>
              <w:t xml:space="preserve"> undertaken to identify any additional capacity costs. The year one action plan for the Joint Digital Strategy is to be reprofiled as a result of the above and is expected to be complete in </w:t>
            </w:r>
            <w:r w:rsidRPr="00005F74">
              <w:rPr>
                <w:rFonts w:cstheme="minorHAnsi"/>
                <w:bCs/>
                <w:color w:val="000000" w:themeColor="text1"/>
                <w:lang w:val="en-US"/>
              </w:rPr>
              <w:t>February 2022. This will ensure successful delivery of the Joint Digital Strategy as planned in March 2024.</w:t>
            </w:r>
          </w:p>
        </w:tc>
        <w:tc>
          <w:tcPr>
            <w:tcW w:w="1985" w:type="dxa"/>
            <w:vMerge w:val="restart"/>
          </w:tcPr>
          <w:p w14:paraId="39BA232E" w14:textId="77777777" w:rsidR="00C055F8" w:rsidRDefault="00F24962">
            <w:pPr>
              <w:rPr>
                <w:rFonts w:cstheme="minorHAnsi"/>
                <w:bCs/>
                <w:color w:val="000000" w:themeColor="text1"/>
                <w:lang w:val="en-US"/>
              </w:rPr>
            </w:pPr>
            <w:r>
              <w:rPr>
                <w:rFonts w:cstheme="minorHAnsi"/>
                <w:bCs/>
                <w:color w:val="000000" w:themeColor="text1"/>
                <w:lang w:val="en-US"/>
              </w:rPr>
              <w:t>Subject to reprogramming but expected to complete by March 2024</w:t>
            </w:r>
          </w:p>
        </w:tc>
      </w:tr>
      <w:tr w:rsidR="00E03946" w14:paraId="39BA2334" w14:textId="77777777" w:rsidTr="00C055F8">
        <w:trPr>
          <w:gridAfter w:val="1"/>
          <w:wAfter w:w="26" w:type="dxa"/>
          <w:trHeight w:val="1897"/>
        </w:trPr>
        <w:tc>
          <w:tcPr>
            <w:tcW w:w="2547" w:type="dxa"/>
            <w:vMerge/>
          </w:tcPr>
          <w:p w14:paraId="39BA2330" w14:textId="77777777" w:rsidR="00C055F8" w:rsidRPr="0077663E" w:rsidRDefault="00F24962" w:rsidP="00C055F8">
            <w:pPr>
              <w:rPr>
                <w:rFonts w:ascii="Arial" w:eastAsia="Times New Roman" w:hAnsi="Arial" w:cs="Arial"/>
                <w:b/>
                <w:bCs/>
                <w:szCs w:val="20"/>
                <w:lang w:eastAsia="en-GB"/>
              </w:rPr>
            </w:pPr>
          </w:p>
        </w:tc>
        <w:tc>
          <w:tcPr>
            <w:tcW w:w="1535" w:type="dxa"/>
          </w:tcPr>
          <w:p w14:paraId="39BA2331" w14:textId="77777777" w:rsidR="00C055F8" w:rsidRDefault="00F24962">
            <w:pPr>
              <w:rPr>
                <w:rFonts w:cstheme="minorHAnsi"/>
                <w:bCs/>
                <w:color w:val="000000" w:themeColor="text1"/>
                <w:lang w:val="en-US"/>
              </w:rPr>
            </w:pPr>
          </w:p>
        </w:tc>
        <w:tc>
          <w:tcPr>
            <w:tcW w:w="9238" w:type="dxa"/>
            <w:vMerge/>
          </w:tcPr>
          <w:p w14:paraId="39BA2332" w14:textId="77777777" w:rsidR="00C055F8" w:rsidRDefault="00F24962">
            <w:pPr>
              <w:rPr>
                <w:rFonts w:cstheme="minorHAnsi"/>
                <w:bCs/>
                <w:color w:val="000000" w:themeColor="text1"/>
                <w:lang w:val="en-US"/>
              </w:rPr>
            </w:pPr>
          </w:p>
        </w:tc>
        <w:tc>
          <w:tcPr>
            <w:tcW w:w="1985" w:type="dxa"/>
            <w:vMerge/>
          </w:tcPr>
          <w:p w14:paraId="39BA2333" w14:textId="77777777" w:rsidR="00C055F8" w:rsidRDefault="00F24962">
            <w:pPr>
              <w:rPr>
                <w:rFonts w:cstheme="minorHAnsi"/>
                <w:bCs/>
                <w:color w:val="000000" w:themeColor="text1"/>
                <w:lang w:val="en-US"/>
              </w:rPr>
            </w:pPr>
          </w:p>
        </w:tc>
      </w:tr>
    </w:tbl>
    <w:p w14:paraId="39BA2335" w14:textId="77777777" w:rsidR="00C055F8" w:rsidRDefault="00F24962">
      <w:pPr>
        <w:rPr>
          <w:rFonts w:cstheme="minorHAnsi"/>
          <w:bCs/>
          <w:color w:val="000000" w:themeColor="text1"/>
          <w:lang w:val="en-US"/>
        </w:rPr>
      </w:pPr>
    </w:p>
    <w:tbl>
      <w:tblPr>
        <w:tblStyle w:val="TableGrid"/>
        <w:tblW w:w="0" w:type="auto"/>
        <w:tblLook w:val="04A0" w:firstRow="1" w:lastRow="0" w:firstColumn="1" w:lastColumn="0" w:noHBand="0" w:noVBand="1"/>
      </w:tblPr>
      <w:tblGrid>
        <w:gridCol w:w="2547"/>
        <w:gridCol w:w="1535"/>
        <w:gridCol w:w="9238"/>
        <w:gridCol w:w="1985"/>
        <w:gridCol w:w="26"/>
      </w:tblGrid>
      <w:tr w:rsidR="00E03946" w14:paraId="39BA2337" w14:textId="77777777" w:rsidTr="00C055F8">
        <w:trPr>
          <w:tblHeader/>
        </w:trPr>
        <w:tc>
          <w:tcPr>
            <w:tcW w:w="15331" w:type="dxa"/>
            <w:gridSpan w:val="5"/>
            <w:shd w:val="clear" w:color="auto" w:fill="FF0000"/>
          </w:tcPr>
          <w:p w14:paraId="39BA2336" w14:textId="77777777" w:rsidR="00C055F8" w:rsidRPr="00005F74" w:rsidRDefault="00F24962" w:rsidP="00C055F8">
            <w:pPr>
              <w:rPr>
                <w:rFonts w:cstheme="minorHAnsi"/>
                <w:b/>
                <w:color w:val="FFFFFF" w:themeColor="background1"/>
                <w:sz w:val="28"/>
                <w:szCs w:val="28"/>
                <w:lang w:val="en-US"/>
              </w:rPr>
            </w:pPr>
            <w:r>
              <w:rPr>
                <w:rFonts w:cstheme="minorHAnsi"/>
                <w:b/>
                <w:color w:val="FFFFFF" w:themeColor="background1"/>
                <w:sz w:val="28"/>
                <w:szCs w:val="28"/>
                <w:lang w:val="en-US"/>
              </w:rPr>
              <w:t xml:space="preserve">Thriving Communities </w:t>
            </w:r>
            <w:r w:rsidRPr="00005F74">
              <w:rPr>
                <w:rFonts w:cstheme="minorHAnsi"/>
                <w:b/>
                <w:color w:val="FFFFFF" w:themeColor="background1"/>
                <w:sz w:val="28"/>
                <w:szCs w:val="28"/>
                <w:lang w:val="en-US"/>
              </w:rPr>
              <w:t xml:space="preserve"> </w:t>
            </w:r>
          </w:p>
        </w:tc>
      </w:tr>
      <w:tr w:rsidR="00E03946" w14:paraId="39BA233C" w14:textId="77777777" w:rsidTr="00C055F8">
        <w:trPr>
          <w:gridAfter w:val="1"/>
          <w:wAfter w:w="26" w:type="dxa"/>
          <w:tblHeader/>
        </w:trPr>
        <w:tc>
          <w:tcPr>
            <w:tcW w:w="2547" w:type="dxa"/>
            <w:shd w:val="clear" w:color="auto" w:fill="808080" w:themeFill="background1" w:themeFillShade="80"/>
          </w:tcPr>
          <w:p w14:paraId="39BA2338" w14:textId="77777777" w:rsidR="00C055F8" w:rsidRPr="00005F74" w:rsidRDefault="00F24962" w:rsidP="00C055F8">
            <w:pPr>
              <w:rPr>
                <w:rFonts w:cstheme="minorHAnsi"/>
                <w:b/>
                <w:color w:val="FFFFFF" w:themeColor="background1"/>
                <w:lang w:val="en-US"/>
              </w:rPr>
            </w:pPr>
            <w:r w:rsidRPr="00005F74">
              <w:rPr>
                <w:rFonts w:cstheme="minorHAnsi"/>
                <w:b/>
                <w:color w:val="FFFFFF" w:themeColor="background1"/>
                <w:lang w:val="en-US"/>
              </w:rPr>
              <w:t>Project</w:t>
            </w:r>
          </w:p>
        </w:tc>
        <w:tc>
          <w:tcPr>
            <w:tcW w:w="1535" w:type="dxa"/>
            <w:shd w:val="clear" w:color="auto" w:fill="808080" w:themeFill="background1" w:themeFillShade="80"/>
          </w:tcPr>
          <w:p w14:paraId="39BA2339" w14:textId="77777777" w:rsidR="00C055F8" w:rsidRPr="00005F74" w:rsidRDefault="00F24962" w:rsidP="00C055F8">
            <w:pPr>
              <w:rPr>
                <w:rFonts w:cstheme="minorHAnsi"/>
                <w:b/>
                <w:color w:val="FFFFFF" w:themeColor="background1"/>
                <w:lang w:val="en-US"/>
              </w:rPr>
            </w:pPr>
            <w:r w:rsidRPr="00005F74">
              <w:rPr>
                <w:rFonts w:cstheme="minorHAnsi"/>
                <w:b/>
                <w:color w:val="FFFFFF" w:themeColor="background1"/>
                <w:lang w:val="en-US"/>
              </w:rPr>
              <w:t>Status Q2</w:t>
            </w:r>
          </w:p>
        </w:tc>
        <w:tc>
          <w:tcPr>
            <w:tcW w:w="9238" w:type="dxa"/>
            <w:shd w:val="clear" w:color="auto" w:fill="808080" w:themeFill="background1" w:themeFillShade="80"/>
          </w:tcPr>
          <w:p w14:paraId="39BA233A" w14:textId="77777777" w:rsidR="00C055F8" w:rsidRPr="00005F74" w:rsidRDefault="00F24962" w:rsidP="00C055F8">
            <w:pPr>
              <w:rPr>
                <w:rFonts w:cstheme="minorHAnsi"/>
                <w:b/>
                <w:color w:val="FFFFFF" w:themeColor="background1"/>
                <w:lang w:val="en-US"/>
              </w:rPr>
            </w:pPr>
            <w:r w:rsidRPr="00005F74">
              <w:rPr>
                <w:rFonts w:cstheme="minorHAnsi"/>
                <w:b/>
                <w:color w:val="FFFFFF" w:themeColor="background1"/>
                <w:lang w:val="en-US"/>
              </w:rPr>
              <w:t>Position Statement (Q2)</w:t>
            </w:r>
          </w:p>
        </w:tc>
        <w:tc>
          <w:tcPr>
            <w:tcW w:w="1985" w:type="dxa"/>
            <w:shd w:val="clear" w:color="auto" w:fill="808080" w:themeFill="background1" w:themeFillShade="80"/>
          </w:tcPr>
          <w:p w14:paraId="39BA233B" w14:textId="77777777" w:rsidR="00C055F8" w:rsidRPr="00005F74" w:rsidRDefault="00F24962" w:rsidP="00C055F8">
            <w:pPr>
              <w:rPr>
                <w:rFonts w:cstheme="minorHAnsi"/>
                <w:b/>
                <w:color w:val="FFFFFF" w:themeColor="background1"/>
                <w:lang w:val="en-US"/>
              </w:rPr>
            </w:pPr>
            <w:r w:rsidRPr="00005F74">
              <w:rPr>
                <w:rFonts w:cstheme="minorHAnsi"/>
                <w:b/>
                <w:color w:val="FFFFFF" w:themeColor="background1"/>
                <w:lang w:val="en-US"/>
              </w:rPr>
              <w:t xml:space="preserve">Completion Date </w:t>
            </w:r>
          </w:p>
        </w:tc>
      </w:tr>
      <w:tr w:rsidR="00E03946" w14:paraId="39BA2342" w14:textId="77777777" w:rsidTr="00C055F8">
        <w:trPr>
          <w:gridAfter w:val="1"/>
          <w:wAfter w:w="26" w:type="dxa"/>
          <w:trHeight w:val="1268"/>
        </w:trPr>
        <w:tc>
          <w:tcPr>
            <w:tcW w:w="2547" w:type="dxa"/>
            <w:vMerge w:val="restart"/>
          </w:tcPr>
          <w:p w14:paraId="39BA233D" w14:textId="77777777" w:rsidR="00C055F8" w:rsidRPr="00EF7578" w:rsidRDefault="00F24962" w:rsidP="00C055F8">
            <w:pPr>
              <w:rPr>
                <w:rFonts w:cstheme="minorHAnsi"/>
                <w:b/>
                <w:bCs/>
                <w:color w:val="000000" w:themeColor="text1"/>
                <w:lang w:val="en-US"/>
              </w:rPr>
            </w:pPr>
            <w:r w:rsidRPr="00EF7578">
              <w:rPr>
                <w:b/>
                <w:bCs/>
              </w:rPr>
              <w:t>Establish South Ribble Together Hubs</w:t>
            </w:r>
          </w:p>
          <w:p w14:paraId="39BA233E" w14:textId="77777777" w:rsidR="00C055F8" w:rsidRPr="00EF7578" w:rsidRDefault="00F24962" w:rsidP="00C055F8">
            <w:pPr>
              <w:rPr>
                <w:rFonts w:cstheme="minorHAnsi"/>
                <w:b/>
                <w:bCs/>
                <w:color w:val="000000" w:themeColor="text1"/>
                <w:lang w:val="en-US"/>
              </w:rPr>
            </w:pPr>
          </w:p>
        </w:tc>
        <w:tc>
          <w:tcPr>
            <w:tcW w:w="1535" w:type="dxa"/>
            <w:shd w:val="clear" w:color="auto" w:fill="92D050"/>
            <w:vAlign w:val="center"/>
          </w:tcPr>
          <w:p w14:paraId="39BA233F" w14:textId="77777777" w:rsidR="00C055F8" w:rsidRPr="00005F74" w:rsidRDefault="00F24962" w:rsidP="00C055F8">
            <w:pPr>
              <w:jc w:val="center"/>
              <w:rPr>
                <w:rFonts w:cstheme="minorHAnsi"/>
                <w:b/>
                <w:color w:val="FFFFFF" w:themeColor="background1"/>
                <w:lang w:val="en-US"/>
              </w:rPr>
            </w:pPr>
            <w:r>
              <w:rPr>
                <w:rFonts w:cstheme="minorHAnsi"/>
                <w:b/>
                <w:color w:val="FFFFFF" w:themeColor="background1"/>
                <w:lang w:val="en-US"/>
              </w:rPr>
              <w:t>Green</w:t>
            </w:r>
          </w:p>
        </w:tc>
        <w:tc>
          <w:tcPr>
            <w:tcW w:w="9238" w:type="dxa"/>
            <w:vMerge w:val="restart"/>
          </w:tcPr>
          <w:p w14:paraId="39BA2340" w14:textId="77777777" w:rsidR="00C055F8" w:rsidRDefault="00F24962" w:rsidP="00C055F8">
            <w:pPr>
              <w:rPr>
                <w:rFonts w:cstheme="minorHAnsi"/>
                <w:bCs/>
                <w:color w:val="000000" w:themeColor="text1"/>
                <w:lang w:val="en-US"/>
              </w:rPr>
            </w:pPr>
            <w:r>
              <w:rPr>
                <w:rFonts w:cstheme="minorHAnsi"/>
                <w:bCs/>
                <w:color w:val="000000" w:themeColor="text1"/>
                <w:lang w:val="en-US"/>
              </w:rPr>
              <w:t xml:space="preserve">The </w:t>
            </w:r>
            <w:r w:rsidRPr="00EF7578">
              <w:rPr>
                <w:rFonts w:cstheme="minorHAnsi"/>
                <w:bCs/>
                <w:color w:val="000000" w:themeColor="text1"/>
                <w:lang w:val="en-US"/>
              </w:rPr>
              <w:t>Community Hubs ha</w:t>
            </w:r>
            <w:r>
              <w:rPr>
                <w:rFonts w:cstheme="minorHAnsi"/>
                <w:bCs/>
                <w:color w:val="000000" w:themeColor="text1"/>
                <w:lang w:val="en-US"/>
              </w:rPr>
              <w:t xml:space="preserve">ve been established.  The </w:t>
            </w:r>
            <w:r w:rsidRPr="00EF7578">
              <w:rPr>
                <w:rFonts w:cstheme="minorHAnsi"/>
                <w:bCs/>
                <w:color w:val="000000" w:themeColor="text1"/>
                <w:lang w:val="en-US"/>
              </w:rPr>
              <w:t xml:space="preserve">hub action plans </w:t>
            </w:r>
            <w:r>
              <w:rPr>
                <w:rFonts w:cstheme="minorHAnsi"/>
                <w:bCs/>
                <w:color w:val="000000" w:themeColor="text1"/>
                <w:lang w:val="en-US"/>
              </w:rPr>
              <w:t xml:space="preserve">are being delivered and monitored, with </w:t>
            </w:r>
            <w:r w:rsidRPr="00EF7578">
              <w:rPr>
                <w:rFonts w:cstheme="minorHAnsi"/>
                <w:bCs/>
                <w:color w:val="000000" w:themeColor="text1"/>
                <w:lang w:val="en-US"/>
              </w:rPr>
              <w:t xml:space="preserve">regular </w:t>
            </w:r>
            <w:r>
              <w:rPr>
                <w:rFonts w:cstheme="minorHAnsi"/>
                <w:bCs/>
                <w:color w:val="000000" w:themeColor="text1"/>
                <w:lang w:val="en-US"/>
              </w:rPr>
              <w:t>h</w:t>
            </w:r>
            <w:r w:rsidRPr="00EF7578">
              <w:rPr>
                <w:rFonts w:cstheme="minorHAnsi"/>
                <w:bCs/>
                <w:color w:val="000000" w:themeColor="text1"/>
                <w:lang w:val="en-US"/>
              </w:rPr>
              <w:t xml:space="preserve">ub planning meetings and hub chair briefings. </w:t>
            </w:r>
            <w:r>
              <w:rPr>
                <w:rFonts w:cstheme="minorHAnsi"/>
                <w:bCs/>
                <w:color w:val="000000" w:themeColor="text1"/>
                <w:lang w:val="en-US"/>
              </w:rPr>
              <w:t>Over the past 12 months, the project has developed a food bank network, providing resources and bringing together a collection of independent foodbanks to better coordinate activities across all areas of the bo</w:t>
            </w:r>
            <w:r>
              <w:rPr>
                <w:rFonts w:cstheme="minorHAnsi"/>
                <w:bCs/>
                <w:color w:val="000000" w:themeColor="text1"/>
                <w:lang w:val="en-US"/>
              </w:rPr>
              <w:t>rough. Each hub area has established its own Facebook presence and newsletters.  In addition to delivering a range of projects and events such as South Ribble in Bloom, the project delivered the first tranche of the Hubs</w:t>
            </w:r>
            <w:r w:rsidRPr="00EF7578">
              <w:rPr>
                <w:rFonts w:cstheme="minorHAnsi"/>
                <w:bCs/>
                <w:color w:val="000000" w:themeColor="text1"/>
                <w:lang w:val="en-US"/>
              </w:rPr>
              <w:t xml:space="preserve"> Boost Fund</w:t>
            </w:r>
            <w:r>
              <w:rPr>
                <w:rFonts w:cstheme="minorHAnsi"/>
                <w:bCs/>
                <w:color w:val="000000" w:themeColor="text1"/>
                <w:lang w:val="en-US"/>
              </w:rPr>
              <w:t xml:space="preserve">. </w:t>
            </w:r>
            <w:r w:rsidRPr="00EF7578">
              <w:rPr>
                <w:rFonts w:cstheme="minorHAnsi"/>
                <w:bCs/>
                <w:color w:val="000000" w:themeColor="text1"/>
                <w:lang w:val="en-US"/>
              </w:rPr>
              <w:t xml:space="preserve"> </w:t>
            </w:r>
            <w:r>
              <w:rPr>
                <w:rFonts w:cstheme="minorHAnsi"/>
                <w:bCs/>
                <w:color w:val="000000" w:themeColor="text1"/>
                <w:lang w:val="en-US"/>
              </w:rPr>
              <w:t>To further develop the</w:t>
            </w:r>
            <w:r>
              <w:rPr>
                <w:rFonts w:cstheme="minorHAnsi"/>
                <w:bCs/>
                <w:color w:val="000000" w:themeColor="text1"/>
                <w:lang w:val="en-US"/>
              </w:rPr>
              <w:t xml:space="preserve"> autonomous nature of the hubs w</w:t>
            </w:r>
            <w:r w:rsidRPr="00EF7578">
              <w:rPr>
                <w:rFonts w:cstheme="minorHAnsi"/>
                <w:bCs/>
                <w:color w:val="000000" w:themeColor="text1"/>
                <w:lang w:val="en-US"/>
              </w:rPr>
              <w:t xml:space="preserve">orkshops will take place with Cabinet, Community Hub Chairs and Vice Chairs to discuss and agree the terms of reference for each hub area in quarter three. A report is to be presented to Cabinet in November 2021, which will </w:t>
            </w:r>
            <w:r w:rsidRPr="00EF7578">
              <w:rPr>
                <w:rFonts w:cstheme="minorHAnsi"/>
                <w:bCs/>
                <w:color w:val="000000" w:themeColor="text1"/>
                <w:lang w:val="en-US"/>
              </w:rPr>
              <w:t>review the achievements and progress of the Community Hubs over the last twelve months.</w:t>
            </w:r>
          </w:p>
        </w:tc>
        <w:tc>
          <w:tcPr>
            <w:tcW w:w="1985" w:type="dxa"/>
            <w:vMerge w:val="restart"/>
          </w:tcPr>
          <w:p w14:paraId="39BA2341" w14:textId="77777777" w:rsidR="00C055F8" w:rsidRDefault="00F24962" w:rsidP="00C055F8">
            <w:pPr>
              <w:rPr>
                <w:rFonts w:cstheme="minorHAnsi"/>
                <w:bCs/>
                <w:color w:val="000000" w:themeColor="text1"/>
                <w:lang w:val="en-US"/>
              </w:rPr>
            </w:pPr>
            <w:r>
              <w:rPr>
                <w:rFonts w:cs="Arial"/>
              </w:rPr>
              <w:t xml:space="preserve">This project will complete and move forward in to the next phase. </w:t>
            </w:r>
          </w:p>
        </w:tc>
      </w:tr>
      <w:tr w:rsidR="00E03946" w14:paraId="39BA2347" w14:textId="77777777" w:rsidTr="00C055F8">
        <w:trPr>
          <w:gridAfter w:val="1"/>
          <w:wAfter w:w="26" w:type="dxa"/>
          <w:trHeight w:val="1022"/>
        </w:trPr>
        <w:tc>
          <w:tcPr>
            <w:tcW w:w="2547" w:type="dxa"/>
            <w:vMerge/>
          </w:tcPr>
          <w:p w14:paraId="39BA2343" w14:textId="77777777" w:rsidR="00C055F8" w:rsidRPr="00EF7578" w:rsidRDefault="00F24962" w:rsidP="00C055F8">
            <w:pPr>
              <w:rPr>
                <w:rFonts w:cstheme="minorHAnsi"/>
                <w:b/>
                <w:bCs/>
                <w:color w:val="000000" w:themeColor="text1"/>
                <w:lang w:val="en-US"/>
              </w:rPr>
            </w:pPr>
          </w:p>
        </w:tc>
        <w:tc>
          <w:tcPr>
            <w:tcW w:w="1535" w:type="dxa"/>
          </w:tcPr>
          <w:p w14:paraId="39BA2344" w14:textId="77777777" w:rsidR="00C055F8" w:rsidRDefault="00F24962" w:rsidP="00C055F8">
            <w:pPr>
              <w:rPr>
                <w:rFonts w:cstheme="minorHAnsi"/>
                <w:bCs/>
                <w:color w:val="000000" w:themeColor="text1"/>
                <w:lang w:val="en-US"/>
              </w:rPr>
            </w:pPr>
          </w:p>
        </w:tc>
        <w:tc>
          <w:tcPr>
            <w:tcW w:w="9238" w:type="dxa"/>
            <w:vMerge/>
          </w:tcPr>
          <w:p w14:paraId="39BA2345" w14:textId="77777777" w:rsidR="00C055F8" w:rsidRPr="00005F74" w:rsidRDefault="00F24962" w:rsidP="00C055F8">
            <w:pPr>
              <w:rPr>
                <w:rFonts w:cstheme="minorHAnsi"/>
                <w:bCs/>
                <w:color w:val="000000" w:themeColor="text1"/>
                <w:lang w:val="en-US"/>
              </w:rPr>
            </w:pPr>
          </w:p>
        </w:tc>
        <w:tc>
          <w:tcPr>
            <w:tcW w:w="1985" w:type="dxa"/>
            <w:vMerge/>
          </w:tcPr>
          <w:p w14:paraId="39BA2346" w14:textId="77777777" w:rsidR="00C055F8" w:rsidRDefault="00F24962" w:rsidP="00C055F8">
            <w:pPr>
              <w:rPr>
                <w:rFonts w:cstheme="minorHAnsi"/>
                <w:bCs/>
                <w:color w:val="000000" w:themeColor="text1"/>
                <w:lang w:val="en-US"/>
              </w:rPr>
            </w:pPr>
          </w:p>
        </w:tc>
      </w:tr>
      <w:tr w:rsidR="00E03946" w14:paraId="39BA234F" w14:textId="77777777" w:rsidTr="00C055F8">
        <w:trPr>
          <w:gridAfter w:val="1"/>
          <w:wAfter w:w="26" w:type="dxa"/>
          <w:trHeight w:val="1395"/>
        </w:trPr>
        <w:tc>
          <w:tcPr>
            <w:tcW w:w="2547" w:type="dxa"/>
            <w:vMerge w:val="restart"/>
          </w:tcPr>
          <w:p w14:paraId="39BA2348" w14:textId="77777777" w:rsidR="00C055F8" w:rsidRPr="00EF7578" w:rsidRDefault="00F24962" w:rsidP="00C055F8">
            <w:pPr>
              <w:rPr>
                <w:rFonts w:cstheme="minorHAnsi"/>
                <w:b/>
                <w:bCs/>
                <w:color w:val="000000" w:themeColor="text1"/>
                <w:lang w:val="en-US"/>
              </w:rPr>
            </w:pPr>
            <w:r w:rsidRPr="00EF7578">
              <w:rPr>
                <w:b/>
                <w:bCs/>
              </w:rPr>
              <w:lastRenderedPageBreak/>
              <w:t>Establish a Youth Council</w:t>
            </w:r>
          </w:p>
          <w:p w14:paraId="39BA2349" w14:textId="77777777" w:rsidR="00C055F8" w:rsidRPr="00EF7578" w:rsidRDefault="00F24962" w:rsidP="00C055F8">
            <w:pPr>
              <w:rPr>
                <w:rFonts w:cstheme="minorHAnsi"/>
                <w:b/>
                <w:bCs/>
                <w:color w:val="000000" w:themeColor="text1"/>
                <w:lang w:val="en-US"/>
              </w:rPr>
            </w:pPr>
          </w:p>
        </w:tc>
        <w:tc>
          <w:tcPr>
            <w:tcW w:w="1535" w:type="dxa"/>
            <w:shd w:val="clear" w:color="auto" w:fill="92D050"/>
            <w:vAlign w:val="center"/>
          </w:tcPr>
          <w:p w14:paraId="39BA234A" w14:textId="77777777" w:rsidR="00C055F8" w:rsidRPr="00F1025C" w:rsidRDefault="00F24962" w:rsidP="00C055F8">
            <w:pPr>
              <w:jc w:val="center"/>
              <w:rPr>
                <w:rFonts w:cstheme="minorHAnsi"/>
                <w:b/>
                <w:color w:val="FFFFFF" w:themeColor="background1"/>
                <w:lang w:val="en-US"/>
              </w:rPr>
            </w:pPr>
            <w:r w:rsidRPr="00F1025C">
              <w:rPr>
                <w:rFonts w:cstheme="minorHAnsi"/>
                <w:b/>
                <w:color w:val="FFFFFF" w:themeColor="background1"/>
                <w:lang w:val="en-US"/>
              </w:rPr>
              <w:t>Green</w:t>
            </w:r>
          </w:p>
        </w:tc>
        <w:tc>
          <w:tcPr>
            <w:tcW w:w="9238" w:type="dxa"/>
            <w:vMerge w:val="restart"/>
          </w:tcPr>
          <w:p w14:paraId="39BA234B" w14:textId="77777777" w:rsidR="00426C58" w:rsidRDefault="00F24962" w:rsidP="00C055F8">
            <w:pPr>
              <w:rPr>
                <w:rFonts w:cstheme="minorHAnsi"/>
                <w:bCs/>
                <w:color w:val="000000" w:themeColor="text1"/>
                <w:lang w:val="en-US"/>
              </w:rPr>
            </w:pPr>
            <w:r w:rsidRPr="00EF7578">
              <w:rPr>
                <w:rFonts w:cstheme="minorHAnsi"/>
                <w:bCs/>
                <w:color w:val="000000" w:themeColor="text1"/>
                <w:lang w:val="en-US"/>
              </w:rPr>
              <w:t xml:space="preserve">The Youth Council programme </w:t>
            </w:r>
            <w:r>
              <w:rPr>
                <w:rFonts w:cstheme="minorHAnsi"/>
                <w:bCs/>
                <w:color w:val="000000" w:themeColor="text1"/>
                <w:lang w:val="en-US"/>
              </w:rPr>
              <w:t>has moved forward with the</w:t>
            </w:r>
            <w:r w:rsidRPr="00EF7578">
              <w:rPr>
                <w:rFonts w:cstheme="minorHAnsi"/>
                <w:bCs/>
                <w:color w:val="000000" w:themeColor="text1"/>
                <w:lang w:val="en-US"/>
              </w:rPr>
              <w:t xml:space="preserve"> commission of Shoutout UK, a young people’s advocacy service that builds political literacy skills with young people to provide support and confidence to take part in the Youth Council. The commission includes a national look to politics and the political</w:t>
            </w:r>
            <w:r w:rsidRPr="00EF7578">
              <w:rPr>
                <w:rFonts w:cstheme="minorHAnsi"/>
                <w:bCs/>
                <w:color w:val="000000" w:themeColor="text1"/>
                <w:lang w:val="en-US"/>
              </w:rPr>
              <w:t xml:space="preserve"> system, local politics (e.g. voting/local issues), developing public speaking, debating exercises and future engagement and development programme. </w:t>
            </w:r>
          </w:p>
          <w:p w14:paraId="39BA234C" w14:textId="77777777" w:rsidR="00426C58" w:rsidRDefault="00F24962" w:rsidP="00C055F8">
            <w:pPr>
              <w:rPr>
                <w:rFonts w:cstheme="minorHAnsi"/>
                <w:bCs/>
                <w:color w:val="000000" w:themeColor="text1"/>
                <w:lang w:val="en-US"/>
              </w:rPr>
            </w:pPr>
          </w:p>
          <w:p w14:paraId="39BA234D" w14:textId="77777777" w:rsidR="00C055F8" w:rsidRDefault="00F24962" w:rsidP="00C055F8">
            <w:pPr>
              <w:rPr>
                <w:rFonts w:cstheme="minorHAnsi"/>
                <w:bCs/>
                <w:color w:val="000000" w:themeColor="text1"/>
                <w:lang w:val="en-US"/>
              </w:rPr>
            </w:pPr>
            <w:r w:rsidRPr="00EF7578">
              <w:rPr>
                <w:rFonts w:cstheme="minorHAnsi"/>
                <w:bCs/>
                <w:color w:val="000000" w:themeColor="text1"/>
                <w:lang w:val="en-US"/>
              </w:rPr>
              <w:t xml:space="preserve">Shoutout UK </w:t>
            </w:r>
            <w:r>
              <w:rPr>
                <w:rFonts w:cstheme="minorHAnsi"/>
                <w:bCs/>
                <w:color w:val="000000" w:themeColor="text1"/>
                <w:lang w:val="en-US"/>
              </w:rPr>
              <w:t xml:space="preserve">are delivering sessions for </w:t>
            </w:r>
            <w:r w:rsidRPr="00EF7578">
              <w:rPr>
                <w:rFonts w:cstheme="minorHAnsi"/>
                <w:bCs/>
                <w:color w:val="000000" w:themeColor="text1"/>
                <w:lang w:val="en-US"/>
              </w:rPr>
              <w:t>up to 30 young people, who will design and create the structure of</w:t>
            </w:r>
            <w:r w:rsidRPr="00EF7578">
              <w:rPr>
                <w:rFonts w:cstheme="minorHAnsi"/>
                <w:bCs/>
                <w:color w:val="000000" w:themeColor="text1"/>
                <w:lang w:val="en-US"/>
              </w:rPr>
              <w:t xml:space="preserve"> the Youth Council which will be delivered as part of the planned programme in January 2022. The recruitment of the 30 young people commenced in September via active engagement with two schools and through the use of social media.</w:t>
            </w:r>
          </w:p>
        </w:tc>
        <w:tc>
          <w:tcPr>
            <w:tcW w:w="1985" w:type="dxa"/>
            <w:vMerge w:val="restart"/>
          </w:tcPr>
          <w:p w14:paraId="39BA234E" w14:textId="77777777" w:rsidR="00C055F8" w:rsidRDefault="00F24962" w:rsidP="00C055F8">
            <w:pPr>
              <w:rPr>
                <w:rFonts w:cstheme="minorHAnsi"/>
                <w:bCs/>
                <w:color w:val="000000" w:themeColor="text1"/>
                <w:lang w:val="en-US"/>
              </w:rPr>
            </w:pPr>
            <w:r>
              <w:rPr>
                <w:rFonts w:cs="Arial"/>
              </w:rPr>
              <w:t>This project will continu</w:t>
            </w:r>
            <w:r>
              <w:rPr>
                <w:rFonts w:cs="Arial"/>
              </w:rPr>
              <w:t xml:space="preserve">e in to the 2021/2022 programme of corporate strategy projects </w:t>
            </w:r>
          </w:p>
        </w:tc>
      </w:tr>
      <w:tr w:rsidR="00E03946" w14:paraId="39BA2354" w14:textId="77777777" w:rsidTr="00C055F8">
        <w:trPr>
          <w:gridAfter w:val="1"/>
          <w:wAfter w:w="26" w:type="dxa"/>
          <w:trHeight w:val="1395"/>
        </w:trPr>
        <w:tc>
          <w:tcPr>
            <w:tcW w:w="2547" w:type="dxa"/>
            <w:vMerge/>
          </w:tcPr>
          <w:p w14:paraId="39BA2350" w14:textId="77777777" w:rsidR="00C055F8" w:rsidRPr="00EF7578" w:rsidRDefault="00F24962" w:rsidP="00C055F8">
            <w:pPr>
              <w:rPr>
                <w:rFonts w:cstheme="minorHAnsi"/>
                <w:b/>
                <w:bCs/>
                <w:color w:val="000000" w:themeColor="text1"/>
                <w:lang w:val="en-US"/>
              </w:rPr>
            </w:pPr>
          </w:p>
        </w:tc>
        <w:tc>
          <w:tcPr>
            <w:tcW w:w="1535" w:type="dxa"/>
          </w:tcPr>
          <w:p w14:paraId="39BA2351" w14:textId="77777777" w:rsidR="00C055F8" w:rsidRDefault="00F24962" w:rsidP="00C055F8">
            <w:pPr>
              <w:rPr>
                <w:rFonts w:cstheme="minorHAnsi"/>
                <w:bCs/>
                <w:color w:val="000000" w:themeColor="text1"/>
                <w:lang w:val="en-US"/>
              </w:rPr>
            </w:pPr>
          </w:p>
        </w:tc>
        <w:tc>
          <w:tcPr>
            <w:tcW w:w="9238" w:type="dxa"/>
            <w:vMerge/>
          </w:tcPr>
          <w:p w14:paraId="39BA2352" w14:textId="77777777" w:rsidR="00C055F8" w:rsidRPr="00BF31AA" w:rsidRDefault="00F24962" w:rsidP="00C055F8"/>
        </w:tc>
        <w:tc>
          <w:tcPr>
            <w:tcW w:w="1985" w:type="dxa"/>
            <w:vMerge/>
            <w:vAlign w:val="center"/>
          </w:tcPr>
          <w:p w14:paraId="39BA2353" w14:textId="77777777" w:rsidR="00C055F8" w:rsidRDefault="00F24962" w:rsidP="00C055F8">
            <w:pPr>
              <w:rPr>
                <w:rFonts w:cs="Arial"/>
              </w:rPr>
            </w:pPr>
          </w:p>
        </w:tc>
      </w:tr>
      <w:tr w:rsidR="00E03946" w14:paraId="39BA235B" w14:textId="77777777" w:rsidTr="00C055F8">
        <w:trPr>
          <w:gridAfter w:val="1"/>
          <w:wAfter w:w="26" w:type="dxa"/>
          <w:trHeight w:val="1361"/>
        </w:trPr>
        <w:tc>
          <w:tcPr>
            <w:tcW w:w="2547" w:type="dxa"/>
            <w:vMerge w:val="restart"/>
          </w:tcPr>
          <w:p w14:paraId="39BA2355" w14:textId="77777777" w:rsidR="00C055F8" w:rsidRPr="00EF7578" w:rsidRDefault="00F24962" w:rsidP="00C055F8">
            <w:pPr>
              <w:rPr>
                <w:rFonts w:cstheme="minorHAnsi"/>
                <w:b/>
                <w:bCs/>
                <w:color w:val="000000" w:themeColor="text1"/>
                <w:lang w:val="en-US"/>
              </w:rPr>
            </w:pPr>
            <w:r w:rsidRPr="00EF7578">
              <w:rPr>
                <w:b/>
                <w:bCs/>
              </w:rPr>
              <w:t>Deliver a mental health support programme for young people</w:t>
            </w:r>
          </w:p>
        </w:tc>
        <w:tc>
          <w:tcPr>
            <w:tcW w:w="1535" w:type="dxa"/>
            <w:shd w:val="clear" w:color="auto" w:fill="92D050"/>
            <w:vAlign w:val="center"/>
          </w:tcPr>
          <w:p w14:paraId="39BA2356" w14:textId="77777777" w:rsidR="00C055F8" w:rsidRPr="00005F74" w:rsidRDefault="00F24962" w:rsidP="00C055F8">
            <w:pPr>
              <w:jc w:val="center"/>
              <w:rPr>
                <w:rFonts w:cstheme="minorHAnsi"/>
                <w:b/>
                <w:color w:val="FFFFFF" w:themeColor="background1"/>
                <w:lang w:val="en-US"/>
              </w:rPr>
            </w:pPr>
            <w:r>
              <w:rPr>
                <w:rFonts w:cstheme="minorHAnsi"/>
                <w:b/>
                <w:color w:val="FFFFFF" w:themeColor="background1"/>
                <w:lang w:val="en-US"/>
              </w:rPr>
              <w:t>Green</w:t>
            </w:r>
          </w:p>
        </w:tc>
        <w:tc>
          <w:tcPr>
            <w:tcW w:w="9238" w:type="dxa"/>
            <w:vMerge w:val="restart"/>
          </w:tcPr>
          <w:p w14:paraId="39BA2357" w14:textId="77777777" w:rsidR="00C055F8" w:rsidRDefault="00F24962" w:rsidP="00C055F8">
            <w:pPr>
              <w:rPr>
                <w:rFonts w:cstheme="minorHAnsi"/>
                <w:bCs/>
                <w:color w:val="000000" w:themeColor="text1"/>
                <w:lang w:val="en-US"/>
              </w:rPr>
            </w:pPr>
            <w:r>
              <w:rPr>
                <w:rFonts w:cstheme="minorHAnsi"/>
                <w:bCs/>
                <w:color w:val="000000" w:themeColor="text1"/>
                <w:lang w:val="en-US"/>
              </w:rPr>
              <w:t>The first year has been focused on scoping and defining a clear set of actions to promote support for mental health, targeted at younger people. The initial part of the years activities resulted in publishing on the council’s website a directory of service</w:t>
            </w:r>
            <w:r>
              <w:rPr>
                <w:rFonts w:cstheme="minorHAnsi"/>
                <w:bCs/>
                <w:color w:val="000000" w:themeColor="text1"/>
                <w:lang w:val="en-US"/>
              </w:rPr>
              <w:t xml:space="preserve">s and support. </w:t>
            </w:r>
          </w:p>
          <w:p w14:paraId="39BA2358" w14:textId="77777777" w:rsidR="00C055F8" w:rsidRDefault="00F24962" w:rsidP="00C055F8">
            <w:pPr>
              <w:rPr>
                <w:rFonts w:cstheme="minorHAnsi"/>
                <w:bCs/>
                <w:color w:val="000000" w:themeColor="text1"/>
                <w:lang w:val="en-US"/>
              </w:rPr>
            </w:pPr>
          </w:p>
          <w:p w14:paraId="39BA2359" w14:textId="77777777" w:rsidR="00C055F8" w:rsidRDefault="00F24962" w:rsidP="00C055F8">
            <w:pPr>
              <w:rPr>
                <w:rFonts w:cstheme="minorHAnsi"/>
                <w:bCs/>
                <w:color w:val="000000" w:themeColor="text1"/>
                <w:lang w:val="en-US"/>
              </w:rPr>
            </w:pPr>
            <w:r>
              <w:rPr>
                <w:rFonts w:cstheme="minorHAnsi"/>
                <w:bCs/>
                <w:color w:val="000000" w:themeColor="text1"/>
                <w:lang w:val="en-US"/>
              </w:rPr>
              <w:t>Latterly a</w:t>
            </w:r>
            <w:r w:rsidRPr="0013279C">
              <w:rPr>
                <w:rFonts w:cstheme="minorHAnsi"/>
                <w:bCs/>
                <w:color w:val="000000" w:themeColor="text1"/>
                <w:lang w:val="en-US"/>
              </w:rPr>
              <w:t>n accredited Mental Health First Aider training course has been delivered through Lancashire Mind, which has been completed by 48 members of staff</w:t>
            </w:r>
            <w:r>
              <w:rPr>
                <w:rFonts w:cstheme="minorHAnsi"/>
                <w:bCs/>
                <w:color w:val="000000" w:themeColor="text1"/>
                <w:lang w:val="en-US"/>
              </w:rPr>
              <w:t xml:space="preserve"> at South Ribble Council</w:t>
            </w:r>
            <w:r w:rsidRPr="0013279C">
              <w:rPr>
                <w:rFonts w:cstheme="minorHAnsi"/>
                <w:bCs/>
                <w:color w:val="000000" w:themeColor="text1"/>
                <w:lang w:val="en-US"/>
              </w:rPr>
              <w:t xml:space="preserve">.  Those employees were identified as individuals that are </w:t>
            </w:r>
            <w:r w:rsidRPr="0013279C">
              <w:rPr>
                <w:rFonts w:cstheme="minorHAnsi"/>
                <w:bCs/>
                <w:color w:val="000000" w:themeColor="text1"/>
                <w:lang w:val="en-US"/>
              </w:rPr>
              <w:t xml:space="preserve">more likely to meet young people who may be vulnerable. </w:t>
            </w:r>
            <w:r>
              <w:rPr>
                <w:rFonts w:cstheme="minorHAnsi"/>
                <w:bCs/>
                <w:color w:val="000000" w:themeColor="text1"/>
                <w:lang w:val="en-US"/>
              </w:rPr>
              <w:t>This intensive</w:t>
            </w:r>
            <w:r w:rsidRPr="0013279C">
              <w:rPr>
                <w:rFonts w:cstheme="minorHAnsi"/>
                <w:bCs/>
                <w:color w:val="000000" w:themeColor="text1"/>
                <w:lang w:val="en-US"/>
              </w:rPr>
              <w:t xml:space="preserve"> course provides officers with the skills and knowledge to recognise mental health needs, support young people with empathy and understand how to direct individuals to the appropriate pr</w:t>
            </w:r>
            <w:r w:rsidRPr="0013279C">
              <w:rPr>
                <w:rFonts w:cstheme="minorHAnsi"/>
                <w:bCs/>
                <w:color w:val="000000" w:themeColor="text1"/>
                <w:lang w:val="en-US"/>
              </w:rPr>
              <w:t>ofessional support.</w:t>
            </w:r>
            <w:r>
              <w:rPr>
                <w:rFonts w:cstheme="minorHAnsi"/>
                <w:bCs/>
                <w:color w:val="000000" w:themeColor="text1"/>
                <w:lang w:val="en-US"/>
              </w:rPr>
              <w:t xml:space="preserve"> As the programme moves forward partners will be engaged to roll out further the mental health first aider scheme. </w:t>
            </w:r>
          </w:p>
        </w:tc>
        <w:tc>
          <w:tcPr>
            <w:tcW w:w="1985" w:type="dxa"/>
            <w:vMerge w:val="restart"/>
          </w:tcPr>
          <w:p w14:paraId="39BA235A" w14:textId="77777777" w:rsidR="00C055F8" w:rsidRDefault="00F24962" w:rsidP="00C055F8">
            <w:pPr>
              <w:rPr>
                <w:rFonts w:cstheme="minorHAnsi"/>
                <w:bCs/>
                <w:color w:val="000000" w:themeColor="text1"/>
                <w:lang w:val="en-US"/>
              </w:rPr>
            </w:pPr>
            <w:r>
              <w:rPr>
                <w:rFonts w:cs="Arial"/>
              </w:rPr>
              <w:t>This project will continue as part of the Communities Business Plan in 2022/2023</w:t>
            </w:r>
          </w:p>
        </w:tc>
      </w:tr>
      <w:tr w:rsidR="00E03946" w14:paraId="39BA2360" w14:textId="77777777" w:rsidTr="00C055F8">
        <w:trPr>
          <w:gridAfter w:val="1"/>
          <w:wAfter w:w="26" w:type="dxa"/>
          <w:trHeight w:val="1770"/>
        </w:trPr>
        <w:tc>
          <w:tcPr>
            <w:tcW w:w="2547" w:type="dxa"/>
            <w:vMerge/>
          </w:tcPr>
          <w:p w14:paraId="39BA235C" w14:textId="77777777" w:rsidR="00C055F8" w:rsidRPr="00005F74" w:rsidRDefault="00F24962" w:rsidP="00C055F8">
            <w:pPr>
              <w:rPr>
                <w:rFonts w:cstheme="minorHAnsi"/>
                <w:bCs/>
                <w:color w:val="000000" w:themeColor="text1"/>
                <w:lang w:val="en-US"/>
              </w:rPr>
            </w:pPr>
          </w:p>
        </w:tc>
        <w:tc>
          <w:tcPr>
            <w:tcW w:w="1535" w:type="dxa"/>
          </w:tcPr>
          <w:p w14:paraId="39BA235D" w14:textId="77777777" w:rsidR="00C055F8" w:rsidRDefault="00F24962" w:rsidP="00C055F8">
            <w:pPr>
              <w:rPr>
                <w:rFonts w:cstheme="minorHAnsi"/>
                <w:bCs/>
                <w:color w:val="000000" w:themeColor="text1"/>
                <w:lang w:val="en-US"/>
              </w:rPr>
            </w:pPr>
          </w:p>
        </w:tc>
        <w:tc>
          <w:tcPr>
            <w:tcW w:w="9238" w:type="dxa"/>
            <w:vMerge/>
          </w:tcPr>
          <w:p w14:paraId="39BA235E" w14:textId="77777777" w:rsidR="00C055F8" w:rsidRPr="00005F74" w:rsidRDefault="00F24962" w:rsidP="00C055F8">
            <w:pPr>
              <w:rPr>
                <w:rFonts w:cstheme="minorHAnsi"/>
                <w:bCs/>
                <w:color w:val="000000" w:themeColor="text1"/>
                <w:lang w:val="en-US"/>
              </w:rPr>
            </w:pPr>
          </w:p>
        </w:tc>
        <w:tc>
          <w:tcPr>
            <w:tcW w:w="1985" w:type="dxa"/>
            <w:vMerge/>
          </w:tcPr>
          <w:p w14:paraId="39BA235F" w14:textId="77777777" w:rsidR="00C055F8" w:rsidRDefault="00F24962" w:rsidP="00C055F8">
            <w:pPr>
              <w:rPr>
                <w:rFonts w:cstheme="minorHAnsi"/>
                <w:bCs/>
                <w:color w:val="000000" w:themeColor="text1"/>
                <w:lang w:val="en-US"/>
              </w:rPr>
            </w:pPr>
          </w:p>
        </w:tc>
      </w:tr>
    </w:tbl>
    <w:p w14:paraId="39BA2361" w14:textId="77777777" w:rsidR="00C055F8" w:rsidRDefault="00F24962">
      <w:pPr>
        <w:rPr>
          <w:rFonts w:cstheme="minorHAnsi"/>
          <w:bCs/>
          <w:color w:val="000000" w:themeColor="text1"/>
          <w:lang w:val="en-US"/>
        </w:rPr>
      </w:pPr>
    </w:p>
    <w:tbl>
      <w:tblPr>
        <w:tblStyle w:val="TableGrid"/>
        <w:tblW w:w="0" w:type="auto"/>
        <w:tblLook w:val="04A0" w:firstRow="1" w:lastRow="0" w:firstColumn="1" w:lastColumn="0" w:noHBand="0" w:noVBand="1"/>
      </w:tblPr>
      <w:tblGrid>
        <w:gridCol w:w="2547"/>
        <w:gridCol w:w="1535"/>
        <w:gridCol w:w="9238"/>
        <w:gridCol w:w="1985"/>
        <w:gridCol w:w="26"/>
      </w:tblGrid>
      <w:tr w:rsidR="00E03946" w14:paraId="39BA2363" w14:textId="77777777" w:rsidTr="00C055F8">
        <w:trPr>
          <w:tblHeader/>
        </w:trPr>
        <w:tc>
          <w:tcPr>
            <w:tcW w:w="15331" w:type="dxa"/>
            <w:gridSpan w:val="5"/>
            <w:shd w:val="clear" w:color="auto" w:fill="7030A0"/>
          </w:tcPr>
          <w:p w14:paraId="39BA2362" w14:textId="77777777" w:rsidR="00C055F8" w:rsidRPr="00005F74" w:rsidRDefault="00F24962" w:rsidP="00C055F8">
            <w:pPr>
              <w:rPr>
                <w:rFonts w:cstheme="minorHAnsi"/>
                <w:b/>
                <w:color w:val="FFFFFF" w:themeColor="background1"/>
                <w:sz w:val="28"/>
                <w:szCs w:val="28"/>
                <w:lang w:val="en-US"/>
              </w:rPr>
            </w:pPr>
            <w:r>
              <w:rPr>
                <w:rFonts w:cstheme="minorHAnsi"/>
                <w:b/>
                <w:color w:val="FFFFFF" w:themeColor="background1"/>
                <w:sz w:val="28"/>
                <w:szCs w:val="28"/>
                <w:lang w:val="en-US"/>
              </w:rPr>
              <w:t xml:space="preserve">A fair local economy that works for everyone </w:t>
            </w:r>
            <w:r w:rsidRPr="00005F74">
              <w:rPr>
                <w:rFonts w:cstheme="minorHAnsi"/>
                <w:b/>
                <w:color w:val="FFFFFF" w:themeColor="background1"/>
                <w:sz w:val="28"/>
                <w:szCs w:val="28"/>
                <w:lang w:val="en-US"/>
              </w:rPr>
              <w:t xml:space="preserve"> </w:t>
            </w:r>
          </w:p>
        </w:tc>
      </w:tr>
      <w:tr w:rsidR="00E03946" w14:paraId="39BA2368" w14:textId="77777777" w:rsidTr="00C055F8">
        <w:trPr>
          <w:gridAfter w:val="1"/>
          <w:wAfter w:w="26" w:type="dxa"/>
          <w:tblHeader/>
        </w:trPr>
        <w:tc>
          <w:tcPr>
            <w:tcW w:w="2547" w:type="dxa"/>
            <w:shd w:val="clear" w:color="auto" w:fill="808080" w:themeFill="background1" w:themeFillShade="80"/>
          </w:tcPr>
          <w:p w14:paraId="39BA2364" w14:textId="77777777" w:rsidR="00C055F8" w:rsidRPr="00005F74" w:rsidRDefault="00F24962" w:rsidP="00C055F8">
            <w:pPr>
              <w:rPr>
                <w:rFonts w:cstheme="minorHAnsi"/>
                <w:b/>
                <w:color w:val="FFFFFF" w:themeColor="background1"/>
                <w:lang w:val="en-US"/>
              </w:rPr>
            </w:pPr>
            <w:r w:rsidRPr="00005F74">
              <w:rPr>
                <w:rFonts w:cstheme="minorHAnsi"/>
                <w:b/>
                <w:color w:val="FFFFFF" w:themeColor="background1"/>
                <w:lang w:val="en-US"/>
              </w:rPr>
              <w:t>Project</w:t>
            </w:r>
          </w:p>
        </w:tc>
        <w:tc>
          <w:tcPr>
            <w:tcW w:w="1535" w:type="dxa"/>
            <w:shd w:val="clear" w:color="auto" w:fill="808080" w:themeFill="background1" w:themeFillShade="80"/>
          </w:tcPr>
          <w:p w14:paraId="39BA2365" w14:textId="77777777" w:rsidR="00C055F8" w:rsidRPr="00005F74" w:rsidRDefault="00F24962" w:rsidP="00C055F8">
            <w:pPr>
              <w:rPr>
                <w:rFonts w:cstheme="minorHAnsi"/>
                <w:b/>
                <w:color w:val="FFFFFF" w:themeColor="background1"/>
                <w:lang w:val="en-US"/>
              </w:rPr>
            </w:pPr>
            <w:r w:rsidRPr="00005F74">
              <w:rPr>
                <w:rFonts w:cstheme="minorHAnsi"/>
                <w:b/>
                <w:color w:val="FFFFFF" w:themeColor="background1"/>
                <w:lang w:val="en-US"/>
              </w:rPr>
              <w:t>Status Q2</w:t>
            </w:r>
          </w:p>
        </w:tc>
        <w:tc>
          <w:tcPr>
            <w:tcW w:w="9238" w:type="dxa"/>
            <w:shd w:val="clear" w:color="auto" w:fill="808080" w:themeFill="background1" w:themeFillShade="80"/>
          </w:tcPr>
          <w:p w14:paraId="39BA2366" w14:textId="77777777" w:rsidR="00C055F8" w:rsidRPr="00005F74" w:rsidRDefault="00F24962" w:rsidP="00C055F8">
            <w:pPr>
              <w:rPr>
                <w:rFonts w:cstheme="minorHAnsi"/>
                <w:b/>
                <w:color w:val="FFFFFF" w:themeColor="background1"/>
                <w:lang w:val="en-US"/>
              </w:rPr>
            </w:pPr>
            <w:r w:rsidRPr="00005F74">
              <w:rPr>
                <w:rFonts w:cstheme="minorHAnsi"/>
                <w:b/>
                <w:color w:val="FFFFFF" w:themeColor="background1"/>
                <w:lang w:val="en-US"/>
              </w:rPr>
              <w:t>Position Statement (Q2)</w:t>
            </w:r>
          </w:p>
        </w:tc>
        <w:tc>
          <w:tcPr>
            <w:tcW w:w="1985" w:type="dxa"/>
            <w:shd w:val="clear" w:color="auto" w:fill="808080" w:themeFill="background1" w:themeFillShade="80"/>
          </w:tcPr>
          <w:p w14:paraId="39BA2367" w14:textId="77777777" w:rsidR="00C055F8" w:rsidRPr="00005F74" w:rsidRDefault="00F24962" w:rsidP="00C055F8">
            <w:pPr>
              <w:rPr>
                <w:rFonts w:cstheme="minorHAnsi"/>
                <w:b/>
                <w:color w:val="FFFFFF" w:themeColor="background1"/>
                <w:lang w:val="en-US"/>
              </w:rPr>
            </w:pPr>
            <w:r w:rsidRPr="00005F74">
              <w:rPr>
                <w:rFonts w:cstheme="minorHAnsi"/>
                <w:b/>
                <w:color w:val="FFFFFF" w:themeColor="background1"/>
                <w:lang w:val="en-US"/>
              </w:rPr>
              <w:t xml:space="preserve">Completion Date </w:t>
            </w:r>
          </w:p>
        </w:tc>
      </w:tr>
      <w:tr w:rsidR="00E03946" w14:paraId="39BA236E" w14:textId="77777777" w:rsidTr="00C055F8">
        <w:trPr>
          <w:gridAfter w:val="1"/>
          <w:wAfter w:w="26" w:type="dxa"/>
          <w:trHeight w:val="1268"/>
        </w:trPr>
        <w:tc>
          <w:tcPr>
            <w:tcW w:w="2547" w:type="dxa"/>
            <w:vMerge w:val="restart"/>
            <w:tcBorders>
              <w:top w:val="single" w:sz="4" w:space="0" w:color="auto"/>
              <w:left w:val="single" w:sz="4" w:space="0" w:color="auto"/>
              <w:bottom w:val="single" w:sz="4" w:space="0" w:color="auto"/>
              <w:right w:val="single" w:sz="4" w:space="0" w:color="auto"/>
            </w:tcBorders>
            <w:shd w:val="clear" w:color="auto" w:fill="auto"/>
          </w:tcPr>
          <w:p w14:paraId="39BA2369" w14:textId="77777777" w:rsidR="00C055F8" w:rsidRPr="00EF7578" w:rsidRDefault="00F24962" w:rsidP="00C055F8">
            <w:pPr>
              <w:rPr>
                <w:rFonts w:cstheme="minorHAnsi"/>
                <w:b/>
                <w:bCs/>
                <w:color w:val="000000" w:themeColor="text1"/>
                <w:lang w:val="en-US"/>
              </w:rPr>
            </w:pPr>
            <w:bookmarkStart w:id="4" w:name="_Hlk70519343"/>
            <w:r w:rsidRPr="003F121D">
              <w:rPr>
                <w:rFonts w:ascii="Arial" w:eastAsia="Times New Roman" w:hAnsi="Arial" w:cs="Times New Roman"/>
                <w:b/>
                <w:bCs/>
                <w:szCs w:val="20"/>
                <w:lang w:eastAsia="en-GB"/>
              </w:rPr>
              <w:t>Implement the community wealth building action plan</w:t>
            </w:r>
          </w:p>
          <w:bookmarkEnd w:id="4"/>
          <w:p w14:paraId="39BA236A" w14:textId="77777777" w:rsidR="00C055F8" w:rsidRPr="00EF7578" w:rsidRDefault="00F24962" w:rsidP="00C055F8">
            <w:pPr>
              <w:rPr>
                <w:rFonts w:cstheme="minorHAnsi"/>
                <w:b/>
                <w:bCs/>
                <w:color w:val="000000" w:themeColor="text1"/>
                <w:lang w:val="en-US"/>
              </w:rPr>
            </w:pPr>
          </w:p>
        </w:tc>
        <w:tc>
          <w:tcPr>
            <w:tcW w:w="1535" w:type="dxa"/>
            <w:shd w:val="clear" w:color="auto" w:fill="92D050"/>
            <w:vAlign w:val="center"/>
          </w:tcPr>
          <w:p w14:paraId="39BA236B" w14:textId="77777777" w:rsidR="00C055F8" w:rsidRPr="00005F74" w:rsidRDefault="00F24962" w:rsidP="00C055F8">
            <w:pPr>
              <w:jc w:val="center"/>
              <w:rPr>
                <w:rFonts w:cstheme="minorHAnsi"/>
                <w:b/>
                <w:color w:val="FFFFFF" w:themeColor="background1"/>
                <w:lang w:val="en-US"/>
              </w:rPr>
            </w:pPr>
            <w:r>
              <w:rPr>
                <w:rFonts w:cstheme="minorHAnsi"/>
                <w:b/>
                <w:color w:val="FFFFFF" w:themeColor="background1"/>
                <w:lang w:val="en-US"/>
              </w:rPr>
              <w:t>Green</w:t>
            </w:r>
          </w:p>
        </w:tc>
        <w:tc>
          <w:tcPr>
            <w:tcW w:w="9238" w:type="dxa"/>
            <w:vMerge w:val="restart"/>
          </w:tcPr>
          <w:p w14:paraId="39BA236C" w14:textId="77777777" w:rsidR="00C055F8" w:rsidRDefault="00F24962" w:rsidP="00C055F8">
            <w:pPr>
              <w:rPr>
                <w:rFonts w:cstheme="minorHAnsi"/>
                <w:bCs/>
                <w:color w:val="000000" w:themeColor="text1"/>
                <w:lang w:val="en-US"/>
              </w:rPr>
            </w:pPr>
            <w:r w:rsidRPr="00095379">
              <w:rPr>
                <w:rFonts w:cstheme="minorHAnsi"/>
                <w:bCs/>
                <w:color w:val="000000" w:themeColor="text1"/>
                <w:lang w:val="en-US"/>
              </w:rPr>
              <w:t xml:space="preserve">The Community Wealth Building programme has </w:t>
            </w:r>
            <w:r>
              <w:rPr>
                <w:rFonts w:cstheme="minorHAnsi"/>
                <w:bCs/>
                <w:color w:val="000000" w:themeColor="text1"/>
                <w:lang w:val="en-US"/>
              </w:rPr>
              <w:t xml:space="preserve">developed its action plan and a number of </w:t>
            </w:r>
            <w:r>
              <w:rPr>
                <w:rFonts w:cstheme="minorHAnsi"/>
                <w:bCs/>
                <w:color w:val="000000" w:themeColor="text1"/>
                <w:lang w:val="en-US"/>
              </w:rPr>
              <w:t>key achievements have been made. Within the year the Credit Union branch in Leyland was opened by Unify Credit Union and a three year plan to develop its sustainability has been started.  The Council has also formally</w:t>
            </w:r>
            <w:r w:rsidRPr="00095379">
              <w:rPr>
                <w:rFonts w:cstheme="minorHAnsi"/>
                <w:bCs/>
                <w:color w:val="000000" w:themeColor="text1"/>
                <w:lang w:val="en-US"/>
              </w:rPr>
              <w:t xml:space="preserve"> achieve</w:t>
            </w:r>
            <w:r>
              <w:rPr>
                <w:rFonts w:cstheme="minorHAnsi"/>
                <w:bCs/>
                <w:color w:val="000000" w:themeColor="text1"/>
                <w:lang w:val="en-US"/>
              </w:rPr>
              <w:t>d</w:t>
            </w:r>
            <w:r w:rsidRPr="00095379">
              <w:rPr>
                <w:rFonts w:cstheme="minorHAnsi"/>
                <w:bCs/>
                <w:color w:val="000000" w:themeColor="text1"/>
                <w:lang w:val="en-US"/>
              </w:rPr>
              <w:t xml:space="preserve"> the Living Wage Accreditation</w:t>
            </w:r>
            <w:r>
              <w:rPr>
                <w:rFonts w:cstheme="minorHAnsi"/>
                <w:bCs/>
                <w:color w:val="000000" w:themeColor="text1"/>
                <w:lang w:val="en-US"/>
              </w:rPr>
              <w:t xml:space="preserve"> which </w:t>
            </w:r>
            <w:r w:rsidRPr="00095379">
              <w:rPr>
                <w:rFonts w:cstheme="minorHAnsi"/>
                <w:bCs/>
                <w:color w:val="000000" w:themeColor="text1"/>
                <w:lang w:val="en-US"/>
              </w:rPr>
              <w:t xml:space="preserve">recognises employers that chose to pay staff above the government’s minimum wage. </w:t>
            </w:r>
            <w:r>
              <w:rPr>
                <w:rFonts w:cstheme="minorHAnsi"/>
                <w:bCs/>
                <w:color w:val="000000" w:themeColor="text1"/>
                <w:lang w:val="en-US"/>
              </w:rPr>
              <w:t xml:space="preserve">To help the council monitor the impact of social value, </w:t>
            </w:r>
            <w:r w:rsidRPr="00095379">
              <w:rPr>
                <w:rFonts w:cstheme="minorHAnsi"/>
                <w:bCs/>
                <w:color w:val="000000" w:themeColor="text1"/>
                <w:lang w:val="en-US"/>
              </w:rPr>
              <w:t xml:space="preserve">the Social Value Portal (SVP) </w:t>
            </w:r>
            <w:r>
              <w:rPr>
                <w:rFonts w:cstheme="minorHAnsi"/>
                <w:bCs/>
                <w:color w:val="000000" w:themeColor="text1"/>
                <w:lang w:val="en-US"/>
              </w:rPr>
              <w:t>has now been implemented to measure the</w:t>
            </w:r>
            <w:r w:rsidRPr="00095379">
              <w:rPr>
                <w:rFonts w:cstheme="minorHAnsi"/>
                <w:bCs/>
                <w:color w:val="000000" w:themeColor="text1"/>
                <w:lang w:val="en-US"/>
              </w:rPr>
              <w:t xml:space="preserve"> council’s procurement outcomes and the be</w:t>
            </w:r>
            <w:r w:rsidRPr="00095379">
              <w:rPr>
                <w:rFonts w:cstheme="minorHAnsi"/>
                <w:bCs/>
                <w:color w:val="000000" w:themeColor="text1"/>
                <w:lang w:val="en-US"/>
              </w:rPr>
              <w:t>nefits to the community.</w:t>
            </w:r>
            <w:r>
              <w:rPr>
                <w:rFonts w:cstheme="minorHAnsi"/>
                <w:bCs/>
                <w:color w:val="000000" w:themeColor="text1"/>
                <w:lang w:val="en-US"/>
              </w:rPr>
              <w:t xml:space="preserve"> Going forward the</w:t>
            </w:r>
            <w:r w:rsidRPr="00301261">
              <w:rPr>
                <w:rFonts w:cstheme="minorHAnsi"/>
                <w:bCs/>
                <w:color w:val="000000" w:themeColor="text1"/>
                <w:lang w:val="en-US"/>
              </w:rPr>
              <w:t xml:space="preserve"> draft social value portal policy has been </w:t>
            </w:r>
            <w:r>
              <w:rPr>
                <w:rFonts w:cstheme="minorHAnsi"/>
                <w:bCs/>
                <w:color w:val="000000" w:themeColor="text1"/>
                <w:lang w:val="en-US"/>
              </w:rPr>
              <w:t>developed</w:t>
            </w:r>
            <w:r w:rsidRPr="00301261">
              <w:rPr>
                <w:rFonts w:cstheme="minorHAnsi"/>
                <w:bCs/>
                <w:color w:val="000000" w:themeColor="text1"/>
                <w:lang w:val="en-US"/>
              </w:rPr>
              <w:t xml:space="preserve"> and shared with stakeholders </w:t>
            </w:r>
            <w:r>
              <w:rPr>
                <w:rFonts w:cstheme="minorHAnsi"/>
                <w:bCs/>
                <w:color w:val="000000" w:themeColor="text1"/>
                <w:lang w:val="en-US"/>
              </w:rPr>
              <w:t xml:space="preserve">and is now waiting on their feedback. </w:t>
            </w:r>
          </w:p>
        </w:tc>
        <w:tc>
          <w:tcPr>
            <w:tcW w:w="1985" w:type="dxa"/>
            <w:vMerge w:val="restart"/>
          </w:tcPr>
          <w:p w14:paraId="39BA236D" w14:textId="77777777" w:rsidR="00C055F8" w:rsidRDefault="00F24962" w:rsidP="00C055F8">
            <w:pPr>
              <w:rPr>
                <w:rFonts w:cstheme="minorHAnsi"/>
                <w:bCs/>
                <w:color w:val="000000" w:themeColor="text1"/>
                <w:lang w:val="en-US"/>
              </w:rPr>
            </w:pPr>
            <w:r>
              <w:rPr>
                <w:rFonts w:cs="Arial"/>
              </w:rPr>
              <w:t>This project will be completed by March 2022.</w:t>
            </w:r>
          </w:p>
        </w:tc>
      </w:tr>
      <w:tr w:rsidR="00E03946" w14:paraId="39BA2373" w14:textId="77777777" w:rsidTr="00C055F8">
        <w:trPr>
          <w:gridAfter w:val="1"/>
          <w:wAfter w:w="26" w:type="dxa"/>
          <w:trHeight w:val="1022"/>
        </w:trPr>
        <w:tc>
          <w:tcPr>
            <w:tcW w:w="2547" w:type="dxa"/>
            <w:vMerge/>
            <w:tcBorders>
              <w:top w:val="single" w:sz="4" w:space="0" w:color="auto"/>
              <w:left w:val="single" w:sz="4" w:space="0" w:color="auto"/>
              <w:bottom w:val="single" w:sz="4" w:space="0" w:color="auto"/>
              <w:right w:val="single" w:sz="4" w:space="0" w:color="auto"/>
            </w:tcBorders>
            <w:shd w:val="clear" w:color="auto" w:fill="auto"/>
          </w:tcPr>
          <w:p w14:paraId="39BA236F" w14:textId="77777777" w:rsidR="00C055F8" w:rsidRPr="00EF7578" w:rsidRDefault="00F24962" w:rsidP="00C055F8">
            <w:pPr>
              <w:rPr>
                <w:rFonts w:cstheme="minorHAnsi"/>
                <w:b/>
                <w:bCs/>
                <w:color w:val="000000" w:themeColor="text1"/>
                <w:lang w:val="en-US"/>
              </w:rPr>
            </w:pPr>
          </w:p>
        </w:tc>
        <w:tc>
          <w:tcPr>
            <w:tcW w:w="1535" w:type="dxa"/>
          </w:tcPr>
          <w:p w14:paraId="39BA2370" w14:textId="77777777" w:rsidR="00C055F8" w:rsidRDefault="00F24962" w:rsidP="00C055F8">
            <w:pPr>
              <w:rPr>
                <w:rFonts w:cstheme="minorHAnsi"/>
                <w:bCs/>
                <w:color w:val="000000" w:themeColor="text1"/>
                <w:lang w:val="en-US"/>
              </w:rPr>
            </w:pPr>
          </w:p>
        </w:tc>
        <w:tc>
          <w:tcPr>
            <w:tcW w:w="9238" w:type="dxa"/>
            <w:vMerge/>
          </w:tcPr>
          <w:p w14:paraId="39BA2371" w14:textId="77777777" w:rsidR="00C055F8" w:rsidRPr="00005F74" w:rsidRDefault="00F24962" w:rsidP="00C055F8">
            <w:pPr>
              <w:rPr>
                <w:rFonts w:cstheme="minorHAnsi"/>
                <w:bCs/>
                <w:color w:val="000000" w:themeColor="text1"/>
                <w:lang w:val="en-US"/>
              </w:rPr>
            </w:pPr>
          </w:p>
        </w:tc>
        <w:tc>
          <w:tcPr>
            <w:tcW w:w="1985" w:type="dxa"/>
            <w:vMerge/>
          </w:tcPr>
          <w:p w14:paraId="39BA2372" w14:textId="77777777" w:rsidR="00C055F8" w:rsidRDefault="00F24962" w:rsidP="00C055F8">
            <w:pPr>
              <w:rPr>
                <w:rFonts w:cstheme="minorHAnsi"/>
                <w:bCs/>
                <w:color w:val="000000" w:themeColor="text1"/>
                <w:lang w:val="en-US"/>
              </w:rPr>
            </w:pPr>
          </w:p>
        </w:tc>
      </w:tr>
      <w:tr w:rsidR="00E03946" w14:paraId="39BA237B" w14:textId="77777777" w:rsidTr="00C055F8">
        <w:trPr>
          <w:gridAfter w:val="1"/>
          <w:wAfter w:w="26" w:type="dxa"/>
          <w:trHeight w:val="1395"/>
        </w:trPr>
        <w:tc>
          <w:tcPr>
            <w:tcW w:w="2547" w:type="dxa"/>
            <w:vMerge w:val="restart"/>
            <w:tcBorders>
              <w:top w:val="single" w:sz="4" w:space="0" w:color="auto"/>
              <w:left w:val="single" w:sz="4" w:space="0" w:color="auto"/>
              <w:bottom w:val="single" w:sz="4" w:space="0" w:color="auto"/>
              <w:right w:val="single" w:sz="4" w:space="0" w:color="auto"/>
            </w:tcBorders>
            <w:shd w:val="clear" w:color="auto" w:fill="auto"/>
          </w:tcPr>
          <w:p w14:paraId="39BA2374" w14:textId="77777777" w:rsidR="00C055F8" w:rsidRPr="00EF7578" w:rsidRDefault="00F24962" w:rsidP="00C055F8">
            <w:pPr>
              <w:rPr>
                <w:rFonts w:cstheme="minorHAnsi"/>
                <w:b/>
                <w:bCs/>
                <w:color w:val="000000" w:themeColor="text1"/>
                <w:lang w:val="en-US"/>
              </w:rPr>
            </w:pPr>
            <w:r w:rsidRPr="003F121D">
              <w:rPr>
                <w:rFonts w:ascii="Arial" w:eastAsia="Times New Roman" w:hAnsi="Arial" w:cs="Times New Roman"/>
                <w:b/>
                <w:bCs/>
                <w:szCs w:val="20"/>
                <w:lang w:eastAsia="en-GB"/>
              </w:rPr>
              <w:lastRenderedPageBreak/>
              <w:t>Deliver year 1 of the Town Deal</w:t>
            </w:r>
          </w:p>
          <w:p w14:paraId="39BA2375" w14:textId="77777777" w:rsidR="00C055F8" w:rsidRPr="00EF7578" w:rsidRDefault="00F24962" w:rsidP="00C055F8">
            <w:pPr>
              <w:rPr>
                <w:rFonts w:cstheme="minorHAnsi"/>
                <w:b/>
                <w:bCs/>
                <w:color w:val="000000" w:themeColor="text1"/>
                <w:lang w:val="en-US"/>
              </w:rPr>
            </w:pPr>
          </w:p>
        </w:tc>
        <w:tc>
          <w:tcPr>
            <w:tcW w:w="1535" w:type="dxa"/>
            <w:shd w:val="clear" w:color="auto" w:fill="92D050"/>
            <w:vAlign w:val="center"/>
          </w:tcPr>
          <w:p w14:paraId="39BA2376" w14:textId="77777777" w:rsidR="00C055F8" w:rsidRPr="00F1025C" w:rsidRDefault="00F24962" w:rsidP="00C055F8">
            <w:pPr>
              <w:jc w:val="center"/>
              <w:rPr>
                <w:rFonts w:cstheme="minorHAnsi"/>
                <w:b/>
                <w:color w:val="FFFFFF" w:themeColor="background1"/>
                <w:lang w:val="en-US"/>
              </w:rPr>
            </w:pPr>
            <w:r w:rsidRPr="00F1025C">
              <w:rPr>
                <w:rFonts w:cstheme="minorHAnsi"/>
                <w:b/>
                <w:color w:val="FFFFFF" w:themeColor="background1"/>
                <w:lang w:val="en-US"/>
              </w:rPr>
              <w:t>Green</w:t>
            </w:r>
          </w:p>
        </w:tc>
        <w:tc>
          <w:tcPr>
            <w:tcW w:w="9238" w:type="dxa"/>
            <w:vMerge w:val="restart"/>
          </w:tcPr>
          <w:p w14:paraId="39BA2377" w14:textId="77777777" w:rsidR="00C055F8" w:rsidRDefault="00F24962" w:rsidP="00C055F8">
            <w:pPr>
              <w:rPr>
                <w:rFonts w:cstheme="minorHAnsi"/>
                <w:bCs/>
                <w:color w:val="000000" w:themeColor="text1"/>
                <w:lang w:val="en-US"/>
              </w:rPr>
            </w:pPr>
            <w:r>
              <w:rPr>
                <w:rFonts w:cstheme="minorHAnsi"/>
                <w:bCs/>
                <w:color w:val="000000" w:themeColor="text1"/>
                <w:lang w:val="en-US"/>
              </w:rPr>
              <w:t xml:space="preserve">Following the development of a Town Deal board and a successful submission to government, </w:t>
            </w:r>
            <w:r w:rsidRPr="00095379">
              <w:rPr>
                <w:rFonts w:cstheme="minorHAnsi"/>
                <w:bCs/>
                <w:color w:val="000000" w:themeColor="text1"/>
                <w:lang w:val="en-US"/>
              </w:rPr>
              <w:t xml:space="preserve">Leyland Town Deal </w:t>
            </w:r>
            <w:r>
              <w:rPr>
                <w:rFonts w:cstheme="minorHAnsi"/>
                <w:bCs/>
                <w:color w:val="000000" w:themeColor="text1"/>
                <w:lang w:val="en-US"/>
              </w:rPr>
              <w:t>has been allocated £25 million to develop the town centre area.  To access this funding consultants are working with the council to develop th</w:t>
            </w:r>
            <w:r>
              <w:rPr>
                <w:rFonts w:cstheme="minorHAnsi"/>
                <w:bCs/>
                <w:color w:val="000000" w:themeColor="text1"/>
                <w:lang w:val="en-US"/>
              </w:rPr>
              <w:t>e detailed</w:t>
            </w:r>
            <w:r w:rsidRPr="00095379">
              <w:rPr>
                <w:rFonts w:cstheme="minorHAnsi"/>
                <w:bCs/>
                <w:color w:val="000000" w:themeColor="text1"/>
                <w:lang w:val="en-US"/>
              </w:rPr>
              <w:t xml:space="preserve"> business case</w:t>
            </w:r>
            <w:r>
              <w:rPr>
                <w:rFonts w:cstheme="minorHAnsi"/>
                <w:bCs/>
                <w:color w:val="000000" w:themeColor="text1"/>
                <w:lang w:val="en-US"/>
              </w:rPr>
              <w:t xml:space="preserve">s </w:t>
            </w:r>
            <w:r w:rsidRPr="00095379">
              <w:rPr>
                <w:rFonts w:cstheme="minorHAnsi"/>
                <w:bCs/>
                <w:color w:val="000000" w:themeColor="text1"/>
                <w:lang w:val="en-US"/>
              </w:rPr>
              <w:t xml:space="preserve">all three </w:t>
            </w:r>
            <w:r>
              <w:rPr>
                <w:rFonts w:cstheme="minorHAnsi"/>
                <w:bCs/>
                <w:color w:val="000000" w:themeColor="text1"/>
                <w:lang w:val="en-US"/>
              </w:rPr>
              <w:t>key delivery areas,</w:t>
            </w:r>
            <w:r w:rsidRPr="00095379">
              <w:rPr>
                <w:rFonts w:cstheme="minorHAnsi"/>
                <w:bCs/>
                <w:color w:val="000000" w:themeColor="text1"/>
                <w:lang w:val="en-US"/>
              </w:rPr>
              <w:t xml:space="preserve"> which are town centre transformation, </w:t>
            </w:r>
            <w:r>
              <w:rPr>
                <w:rFonts w:cstheme="minorHAnsi"/>
                <w:bCs/>
                <w:color w:val="000000" w:themeColor="text1"/>
                <w:lang w:val="en-US"/>
              </w:rPr>
              <w:t>improvements to the market</w:t>
            </w:r>
            <w:r w:rsidRPr="00095379">
              <w:rPr>
                <w:rFonts w:cstheme="minorHAnsi"/>
                <w:bCs/>
                <w:color w:val="000000" w:themeColor="text1"/>
                <w:lang w:val="en-US"/>
              </w:rPr>
              <w:t xml:space="preserve"> and the development of ‘Base 2 Business’ hub.</w:t>
            </w:r>
          </w:p>
          <w:p w14:paraId="39BA2378" w14:textId="77777777" w:rsidR="00C055F8" w:rsidRDefault="00F24962" w:rsidP="00C055F8">
            <w:pPr>
              <w:rPr>
                <w:rFonts w:cstheme="minorHAnsi"/>
                <w:bCs/>
                <w:color w:val="000000" w:themeColor="text1"/>
                <w:lang w:val="en-US"/>
              </w:rPr>
            </w:pPr>
          </w:p>
          <w:p w14:paraId="39BA2379" w14:textId="77777777" w:rsidR="00C055F8" w:rsidRDefault="00F24962" w:rsidP="00C055F8">
            <w:pPr>
              <w:rPr>
                <w:rFonts w:cstheme="minorHAnsi"/>
                <w:bCs/>
                <w:color w:val="000000" w:themeColor="text1"/>
                <w:lang w:val="en-US"/>
              </w:rPr>
            </w:pPr>
            <w:r w:rsidRPr="00095379">
              <w:rPr>
                <w:rFonts w:cstheme="minorHAnsi"/>
                <w:bCs/>
                <w:color w:val="000000" w:themeColor="text1"/>
                <w:lang w:val="en-US"/>
              </w:rPr>
              <w:t>Stakeholder engagement and consultations events are to take place next quarter to develop the project brief.  The submission of the business cases to the funding body is programmed for submission in March 2022.</w:t>
            </w:r>
          </w:p>
        </w:tc>
        <w:tc>
          <w:tcPr>
            <w:tcW w:w="1985" w:type="dxa"/>
            <w:vMerge w:val="restart"/>
          </w:tcPr>
          <w:p w14:paraId="39BA237A" w14:textId="77777777" w:rsidR="00C055F8" w:rsidRDefault="00F24962" w:rsidP="00C055F8">
            <w:pPr>
              <w:rPr>
                <w:rFonts w:cstheme="minorHAnsi"/>
                <w:bCs/>
                <w:color w:val="000000" w:themeColor="text1"/>
                <w:lang w:val="en-US"/>
              </w:rPr>
            </w:pPr>
            <w:r>
              <w:rPr>
                <w:rFonts w:cs="Arial"/>
              </w:rPr>
              <w:t>This project will continue in to the 2021/202</w:t>
            </w:r>
            <w:r>
              <w:rPr>
                <w:rFonts w:cs="Arial"/>
              </w:rPr>
              <w:t xml:space="preserve">2 programme of corporate strategy projects </w:t>
            </w:r>
          </w:p>
        </w:tc>
      </w:tr>
      <w:tr w:rsidR="00E03946" w14:paraId="39BA2380" w14:textId="77777777" w:rsidTr="00C055F8">
        <w:trPr>
          <w:gridAfter w:val="1"/>
          <w:wAfter w:w="26" w:type="dxa"/>
          <w:trHeight w:val="1167"/>
        </w:trPr>
        <w:tc>
          <w:tcPr>
            <w:tcW w:w="2547" w:type="dxa"/>
            <w:vMerge/>
            <w:tcBorders>
              <w:top w:val="single" w:sz="4" w:space="0" w:color="auto"/>
              <w:left w:val="single" w:sz="4" w:space="0" w:color="auto"/>
              <w:bottom w:val="single" w:sz="4" w:space="0" w:color="auto"/>
              <w:right w:val="single" w:sz="4" w:space="0" w:color="auto"/>
            </w:tcBorders>
            <w:shd w:val="clear" w:color="auto" w:fill="auto"/>
          </w:tcPr>
          <w:p w14:paraId="39BA237C" w14:textId="77777777" w:rsidR="00C055F8" w:rsidRPr="00EF7578" w:rsidRDefault="00F24962" w:rsidP="00C055F8">
            <w:pPr>
              <w:rPr>
                <w:rFonts w:cstheme="minorHAnsi"/>
                <w:b/>
                <w:bCs/>
                <w:color w:val="000000" w:themeColor="text1"/>
                <w:lang w:val="en-US"/>
              </w:rPr>
            </w:pPr>
          </w:p>
        </w:tc>
        <w:tc>
          <w:tcPr>
            <w:tcW w:w="1535" w:type="dxa"/>
          </w:tcPr>
          <w:p w14:paraId="39BA237D" w14:textId="77777777" w:rsidR="00C055F8" w:rsidRDefault="00F24962" w:rsidP="00C055F8">
            <w:pPr>
              <w:rPr>
                <w:rFonts w:cstheme="minorHAnsi"/>
                <w:bCs/>
                <w:color w:val="000000" w:themeColor="text1"/>
                <w:lang w:val="en-US"/>
              </w:rPr>
            </w:pPr>
          </w:p>
        </w:tc>
        <w:tc>
          <w:tcPr>
            <w:tcW w:w="9238" w:type="dxa"/>
            <w:vMerge/>
          </w:tcPr>
          <w:p w14:paraId="39BA237E" w14:textId="77777777" w:rsidR="00C055F8" w:rsidRPr="00BF31AA" w:rsidRDefault="00F24962" w:rsidP="00C055F8"/>
        </w:tc>
        <w:tc>
          <w:tcPr>
            <w:tcW w:w="1985" w:type="dxa"/>
            <w:vMerge/>
            <w:vAlign w:val="center"/>
          </w:tcPr>
          <w:p w14:paraId="39BA237F" w14:textId="77777777" w:rsidR="00C055F8" w:rsidRDefault="00F24962" w:rsidP="00C055F8">
            <w:pPr>
              <w:rPr>
                <w:rFonts w:cs="Arial"/>
              </w:rPr>
            </w:pPr>
          </w:p>
        </w:tc>
      </w:tr>
      <w:tr w:rsidR="00E03946" w14:paraId="39BA2386" w14:textId="77777777" w:rsidTr="00C055F8">
        <w:trPr>
          <w:gridAfter w:val="1"/>
          <w:wAfter w:w="26" w:type="dxa"/>
          <w:trHeight w:val="1361"/>
        </w:trPr>
        <w:tc>
          <w:tcPr>
            <w:tcW w:w="2547" w:type="dxa"/>
            <w:vMerge w:val="restart"/>
            <w:tcBorders>
              <w:top w:val="single" w:sz="4" w:space="0" w:color="auto"/>
              <w:left w:val="single" w:sz="4" w:space="0" w:color="auto"/>
              <w:bottom w:val="single" w:sz="4" w:space="0" w:color="auto"/>
              <w:right w:val="single" w:sz="4" w:space="0" w:color="auto"/>
            </w:tcBorders>
            <w:shd w:val="clear" w:color="auto" w:fill="auto"/>
          </w:tcPr>
          <w:p w14:paraId="39BA2381" w14:textId="77777777" w:rsidR="00C055F8" w:rsidRPr="00EF7578" w:rsidRDefault="00F24962" w:rsidP="00C055F8">
            <w:pPr>
              <w:rPr>
                <w:rFonts w:cstheme="minorHAnsi"/>
                <w:b/>
                <w:bCs/>
                <w:color w:val="000000" w:themeColor="text1"/>
                <w:lang w:val="en-US"/>
              </w:rPr>
            </w:pPr>
            <w:r w:rsidRPr="003F121D">
              <w:rPr>
                <w:rFonts w:ascii="Arial" w:eastAsia="Times New Roman" w:hAnsi="Arial" w:cs="Times New Roman"/>
                <w:b/>
                <w:bCs/>
                <w:szCs w:val="20"/>
                <w:lang w:eastAsia="en-GB"/>
              </w:rPr>
              <w:t>Establish a business support programme</w:t>
            </w:r>
          </w:p>
        </w:tc>
        <w:tc>
          <w:tcPr>
            <w:tcW w:w="1535" w:type="dxa"/>
            <w:shd w:val="clear" w:color="auto" w:fill="92D050"/>
            <w:vAlign w:val="center"/>
          </w:tcPr>
          <w:p w14:paraId="39BA2382" w14:textId="77777777" w:rsidR="00C055F8" w:rsidRPr="00005F74" w:rsidRDefault="00F24962" w:rsidP="00C055F8">
            <w:pPr>
              <w:jc w:val="center"/>
              <w:rPr>
                <w:rFonts w:cstheme="minorHAnsi"/>
                <w:b/>
                <w:color w:val="FFFFFF" w:themeColor="background1"/>
                <w:lang w:val="en-US"/>
              </w:rPr>
            </w:pPr>
            <w:r>
              <w:rPr>
                <w:rFonts w:cstheme="minorHAnsi"/>
                <w:b/>
                <w:color w:val="FFFFFF" w:themeColor="background1"/>
                <w:lang w:val="en-US"/>
              </w:rPr>
              <w:t>Green</w:t>
            </w:r>
          </w:p>
        </w:tc>
        <w:tc>
          <w:tcPr>
            <w:tcW w:w="9238" w:type="dxa"/>
            <w:vMerge w:val="restart"/>
          </w:tcPr>
          <w:p w14:paraId="39BA2383" w14:textId="77777777" w:rsidR="00C055F8" w:rsidRPr="00095379" w:rsidRDefault="00F24962" w:rsidP="00C055F8">
            <w:pPr>
              <w:rPr>
                <w:rFonts w:cs="Arial"/>
                <w:iCs/>
              </w:rPr>
            </w:pPr>
            <w:bookmarkStart w:id="5" w:name="_Hlk85466052"/>
            <w:r>
              <w:rPr>
                <w:rFonts w:cs="Arial"/>
                <w:iCs/>
              </w:rPr>
              <w:t xml:space="preserve">A </w:t>
            </w:r>
            <w:r w:rsidRPr="00095379">
              <w:rPr>
                <w:rFonts w:cs="Arial"/>
                <w:iCs/>
              </w:rPr>
              <w:t xml:space="preserve">grant scheme </w:t>
            </w:r>
            <w:r>
              <w:rPr>
                <w:rFonts w:cs="Arial"/>
                <w:iCs/>
              </w:rPr>
              <w:t xml:space="preserve">has been developed to respond to the needs of local businesses, to enhance the overall support available to local business through the </w:t>
            </w:r>
            <w:r>
              <w:rPr>
                <w:rFonts w:cs="Arial"/>
                <w:iCs/>
              </w:rPr>
              <w:t>national programme of business support. The c</w:t>
            </w:r>
            <w:r w:rsidRPr="00095379">
              <w:rPr>
                <w:rFonts w:cs="Arial"/>
                <w:iCs/>
              </w:rPr>
              <w:t xml:space="preserve">ouncil received further funding from Central Government, a total of £706k </w:t>
            </w:r>
            <w:r>
              <w:rPr>
                <w:rFonts w:cs="Arial"/>
                <w:iCs/>
              </w:rPr>
              <w:t>having met</w:t>
            </w:r>
            <w:r w:rsidRPr="00095379">
              <w:rPr>
                <w:rFonts w:cs="Arial"/>
                <w:iCs/>
              </w:rPr>
              <w:t xml:space="preserve"> key targets over the past </w:t>
            </w:r>
            <w:r>
              <w:rPr>
                <w:rFonts w:cs="Arial"/>
                <w:iCs/>
              </w:rPr>
              <w:t>year</w:t>
            </w:r>
            <w:r w:rsidRPr="00095379">
              <w:rPr>
                <w:rFonts w:cs="Arial"/>
                <w:iCs/>
              </w:rPr>
              <w:t xml:space="preserve"> as part of the </w:t>
            </w:r>
            <w:r>
              <w:rPr>
                <w:rFonts w:cs="Arial"/>
                <w:iCs/>
              </w:rPr>
              <w:t xml:space="preserve">national </w:t>
            </w:r>
            <w:r w:rsidRPr="00095379">
              <w:rPr>
                <w:rFonts w:cs="Arial"/>
                <w:iCs/>
              </w:rPr>
              <w:t>grants programme provided throughout the Covid pandemic. T</w:t>
            </w:r>
            <w:r>
              <w:rPr>
                <w:rFonts w:cs="Arial"/>
                <w:iCs/>
              </w:rPr>
              <w:t>he</w:t>
            </w:r>
            <w:r w:rsidRPr="00095379">
              <w:rPr>
                <w:rFonts w:cs="Arial"/>
                <w:iCs/>
              </w:rPr>
              <w:t xml:space="preserve"> Additional</w:t>
            </w:r>
            <w:r w:rsidRPr="00095379">
              <w:rPr>
                <w:rFonts w:cs="Arial"/>
                <w:iCs/>
              </w:rPr>
              <w:t xml:space="preserve"> Restrictions Grant (ARG3) tranche of government funding </w:t>
            </w:r>
            <w:r>
              <w:rPr>
                <w:rFonts w:cs="Arial"/>
                <w:iCs/>
              </w:rPr>
              <w:t>has been</w:t>
            </w:r>
            <w:r w:rsidRPr="00095379">
              <w:rPr>
                <w:rFonts w:cs="Arial"/>
                <w:iCs/>
              </w:rPr>
              <w:t xml:space="preserve"> amalgamated with </w:t>
            </w:r>
            <w:r>
              <w:rPr>
                <w:rFonts w:cs="Arial"/>
                <w:iCs/>
              </w:rPr>
              <w:t>the allocation of</w:t>
            </w:r>
            <w:r w:rsidRPr="00095379">
              <w:rPr>
                <w:rFonts w:cs="Arial"/>
                <w:iCs/>
              </w:rPr>
              <w:t xml:space="preserve"> £150k as part of the corporate strategy project to support businesses.  The support that will be provided includes mental health support, recruitment, brin</w:t>
            </w:r>
            <w:r w:rsidRPr="00095379">
              <w:rPr>
                <w:rFonts w:cs="Arial"/>
                <w:iCs/>
              </w:rPr>
              <w:t xml:space="preserve">ging empty properties back in to use, sector skills (e.g. hospitality and care), start-up grants and summer grants for market traders.  </w:t>
            </w:r>
            <w:r>
              <w:t>Approval for grant criteria and authority to spend has taken place through an Executive Member Decision</w:t>
            </w:r>
            <w:r w:rsidRPr="00095379">
              <w:rPr>
                <w:rFonts w:cs="Arial"/>
                <w:iCs/>
              </w:rPr>
              <w:t>.</w:t>
            </w:r>
            <w:bookmarkEnd w:id="5"/>
          </w:p>
          <w:p w14:paraId="39BA2384" w14:textId="77777777" w:rsidR="00C055F8" w:rsidRDefault="00F24962" w:rsidP="00C055F8">
            <w:pPr>
              <w:rPr>
                <w:rFonts w:cstheme="minorHAnsi"/>
                <w:bCs/>
                <w:color w:val="000000" w:themeColor="text1"/>
                <w:lang w:val="en-US"/>
              </w:rPr>
            </w:pPr>
          </w:p>
        </w:tc>
        <w:tc>
          <w:tcPr>
            <w:tcW w:w="1985" w:type="dxa"/>
            <w:vMerge w:val="restart"/>
          </w:tcPr>
          <w:p w14:paraId="39BA2385" w14:textId="77777777" w:rsidR="00C055F8" w:rsidRDefault="00F24962" w:rsidP="00C055F8">
            <w:pPr>
              <w:rPr>
                <w:rFonts w:cstheme="minorHAnsi"/>
                <w:bCs/>
                <w:color w:val="000000" w:themeColor="text1"/>
                <w:lang w:val="en-US"/>
              </w:rPr>
            </w:pPr>
            <w:r>
              <w:rPr>
                <w:rFonts w:cs="Arial"/>
              </w:rPr>
              <w:t>This project w</w:t>
            </w:r>
            <w:r>
              <w:rPr>
                <w:rFonts w:cs="Arial"/>
              </w:rPr>
              <w:t>ill be completed by March 2022.</w:t>
            </w:r>
          </w:p>
        </w:tc>
      </w:tr>
      <w:tr w:rsidR="00E03946" w14:paraId="39BA238B" w14:textId="77777777" w:rsidTr="00C055F8">
        <w:trPr>
          <w:gridAfter w:val="1"/>
          <w:wAfter w:w="26" w:type="dxa"/>
          <w:trHeight w:val="1770"/>
        </w:trPr>
        <w:tc>
          <w:tcPr>
            <w:tcW w:w="2547" w:type="dxa"/>
            <w:vMerge/>
          </w:tcPr>
          <w:p w14:paraId="39BA2387" w14:textId="77777777" w:rsidR="00C055F8" w:rsidRPr="00005F74" w:rsidRDefault="00F24962" w:rsidP="00C055F8">
            <w:pPr>
              <w:rPr>
                <w:rFonts w:cstheme="minorHAnsi"/>
                <w:bCs/>
                <w:color w:val="000000" w:themeColor="text1"/>
                <w:lang w:val="en-US"/>
              </w:rPr>
            </w:pPr>
          </w:p>
        </w:tc>
        <w:tc>
          <w:tcPr>
            <w:tcW w:w="1535" w:type="dxa"/>
          </w:tcPr>
          <w:p w14:paraId="39BA2388" w14:textId="77777777" w:rsidR="00C055F8" w:rsidRDefault="00F24962" w:rsidP="00C055F8">
            <w:pPr>
              <w:rPr>
                <w:rFonts w:cstheme="minorHAnsi"/>
                <w:bCs/>
                <w:color w:val="000000" w:themeColor="text1"/>
                <w:lang w:val="en-US"/>
              </w:rPr>
            </w:pPr>
          </w:p>
        </w:tc>
        <w:tc>
          <w:tcPr>
            <w:tcW w:w="9238" w:type="dxa"/>
            <w:vMerge/>
          </w:tcPr>
          <w:p w14:paraId="39BA2389" w14:textId="77777777" w:rsidR="00C055F8" w:rsidRPr="00005F74" w:rsidRDefault="00F24962" w:rsidP="00C055F8">
            <w:pPr>
              <w:rPr>
                <w:rFonts w:cstheme="minorHAnsi"/>
                <w:bCs/>
                <w:color w:val="000000" w:themeColor="text1"/>
                <w:lang w:val="en-US"/>
              </w:rPr>
            </w:pPr>
          </w:p>
        </w:tc>
        <w:tc>
          <w:tcPr>
            <w:tcW w:w="1985" w:type="dxa"/>
            <w:vMerge/>
          </w:tcPr>
          <w:p w14:paraId="39BA238A" w14:textId="77777777" w:rsidR="00C055F8" w:rsidRDefault="00F24962" w:rsidP="00C055F8">
            <w:pPr>
              <w:rPr>
                <w:rFonts w:cstheme="minorHAnsi"/>
                <w:bCs/>
                <w:color w:val="000000" w:themeColor="text1"/>
                <w:lang w:val="en-US"/>
              </w:rPr>
            </w:pPr>
          </w:p>
        </w:tc>
      </w:tr>
    </w:tbl>
    <w:p w14:paraId="39BA238C" w14:textId="77777777" w:rsidR="00C055F8" w:rsidRDefault="00F24962">
      <w:pPr>
        <w:rPr>
          <w:rFonts w:cstheme="minorHAnsi"/>
          <w:bCs/>
          <w:color w:val="000000" w:themeColor="text1"/>
          <w:lang w:val="en-US"/>
        </w:rPr>
      </w:pPr>
    </w:p>
    <w:tbl>
      <w:tblPr>
        <w:tblStyle w:val="TableGrid"/>
        <w:tblW w:w="0" w:type="auto"/>
        <w:tblLook w:val="04A0" w:firstRow="1" w:lastRow="0" w:firstColumn="1" w:lastColumn="0" w:noHBand="0" w:noVBand="1"/>
      </w:tblPr>
      <w:tblGrid>
        <w:gridCol w:w="2547"/>
        <w:gridCol w:w="1535"/>
        <w:gridCol w:w="9238"/>
        <w:gridCol w:w="1985"/>
        <w:gridCol w:w="26"/>
      </w:tblGrid>
      <w:tr w:rsidR="00E03946" w14:paraId="39BA238E" w14:textId="77777777" w:rsidTr="00C055F8">
        <w:trPr>
          <w:tblHeader/>
        </w:trPr>
        <w:tc>
          <w:tcPr>
            <w:tcW w:w="15331" w:type="dxa"/>
            <w:gridSpan w:val="5"/>
            <w:shd w:val="clear" w:color="auto" w:fill="92D050"/>
          </w:tcPr>
          <w:p w14:paraId="39BA238D" w14:textId="77777777" w:rsidR="00C055F8" w:rsidRPr="00005F74" w:rsidRDefault="00F24962" w:rsidP="00C055F8">
            <w:pPr>
              <w:rPr>
                <w:rFonts w:cstheme="minorHAnsi"/>
                <w:b/>
                <w:color w:val="FFFFFF" w:themeColor="background1"/>
                <w:sz w:val="28"/>
                <w:szCs w:val="28"/>
                <w:lang w:val="en-US"/>
              </w:rPr>
            </w:pPr>
            <w:r>
              <w:rPr>
                <w:rFonts w:cstheme="minorHAnsi"/>
                <w:b/>
                <w:color w:val="FFFFFF" w:themeColor="background1"/>
                <w:sz w:val="28"/>
                <w:szCs w:val="28"/>
                <w:lang w:val="en-US"/>
              </w:rPr>
              <w:t xml:space="preserve">Good homes, green spaces, healthy places </w:t>
            </w:r>
          </w:p>
        </w:tc>
      </w:tr>
      <w:tr w:rsidR="00E03946" w14:paraId="39BA2393" w14:textId="77777777" w:rsidTr="00C055F8">
        <w:trPr>
          <w:gridAfter w:val="1"/>
          <w:wAfter w:w="26" w:type="dxa"/>
          <w:tblHeader/>
        </w:trPr>
        <w:tc>
          <w:tcPr>
            <w:tcW w:w="2547" w:type="dxa"/>
            <w:shd w:val="clear" w:color="auto" w:fill="808080" w:themeFill="background1" w:themeFillShade="80"/>
          </w:tcPr>
          <w:p w14:paraId="39BA238F" w14:textId="77777777" w:rsidR="00C055F8" w:rsidRPr="00005F74" w:rsidRDefault="00F24962" w:rsidP="00C055F8">
            <w:pPr>
              <w:rPr>
                <w:rFonts w:cstheme="minorHAnsi"/>
                <w:b/>
                <w:color w:val="FFFFFF" w:themeColor="background1"/>
                <w:lang w:val="en-US"/>
              </w:rPr>
            </w:pPr>
            <w:r w:rsidRPr="00005F74">
              <w:rPr>
                <w:rFonts w:cstheme="minorHAnsi"/>
                <w:b/>
                <w:color w:val="FFFFFF" w:themeColor="background1"/>
                <w:lang w:val="en-US"/>
              </w:rPr>
              <w:t>Project</w:t>
            </w:r>
          </w:p>
        </w:tc>
        <w:tc>
          <w:tcPr>
            <w:tcW w:w="1535" w:type="dxa"/>
            <w:shd w:val="clear" w:color="auto" w:fill="808080" w:themeFill="background1" w:themeFillShade="80"/>
          </w:tcPr>
          <w:p w14:paraId="39BA2390" w14:textId="77777777" w:rsidR="00C055F8" w:rsidRPr="00005F74" w:rsidRDefault="00F24962" w:rsidP="00C055F8">
            <w:pPr>
              <w:rPr>
                <w:rFonts w:cstheme="minorHAnsi"/>
                <w:b/>
                <w:color w:val="FFFFFF" w:themeColor="background1"/>
                <w:lang w:val="en-US"/>
              </w:rPr>
            </w:pPr>
            <w:r w:rsidRPr="00005F74">
              <w:rPr>
                <w:rFonts w:cstheme="minorHAnsi"/>
                <w:b/>
                <w:color w:val="FFFFFF" w:themeColor="background1"/>
                <w:lang w:val="en-US"/>
              </w:rPr>
              <w:t>Status Q2</w:t>
            </w:r>
          </w:p>
        </w:tc>
        <w:tc>
          <w:tcPr>
            <w:tcW w:w="9238" w:type="dxa"/>
            <w:shd w:val="clear" w:color="auto" w:fill="808080" w:themeFill="background1" w:themeFillShade="80"/>
          </w:tcPr>
          <w:p w14:paraId="39BA2391" w14:textId="77777777" w:rsidR="00C055F8" w:rsidRPr="00005F74" w:rsidRDefault="00F24962" w:rsidP="00C055F8">
            <w:pPr>
              <w:rPr>
                <w:rFonts w:cstheme="minorHAnsi"/>
                <w:b/>
                <w:color w:val="FFFFFF" w:themeColor="background1"/>
                <w:lang w:val="en-US"/>
              </w:rPr>
            </w:pPr>
            <w:r w:rsidRPr="00005F74">
              <w:rPr>
                <w:rFonts w:cstheme="minorHAnsi"/>
                <w:b/>
                <w:color w:val="FFFFFF" w:themeColor="background1"/>
                <w:lang w:val="en-US"/>
              </w:rPr>
              <w:t>Position Statement (Q2)</w:t>
            </w:r>
          </w:p>
        </w:tc>
        <w:tc>
          <w:tcPr>
            <w:tcW w:w="1985" w:type="dxa"/>
            <w:shd w:val="clear" w:color="auto" w:fill="808080" w:themeFill="background1" w:themeFillShade="80"/>
          </w:tcPr>
          <w:p w14:paraId="39BA2392" w14:textId="77777777" w:rsidR="00C055F8" w:rsidRPr="00005F74" w:rsidRDefault="00F24962" w:rsidP="00C055F8">
            <w:pPr>
              <w:rPr>
                <w:rFonts w:cstheme="minorHAnsi"/>
                <w:b/>
                <w:color w:val="FFFFFF" w:themeColor="background1"/>
                <w:lang w:val="en-US"/>
              </w:rPr>
            </w:pPr>
            <w:r w:rsidRPr="00005F74">
              <w:rPr>
                <w:rFonts w:cstheme="minorHAnsi"/>
                <w:b/>
                <w:color w:val="FFFFFF" w:themeColor="background1"/>
                <w:lang w:val="en-US"/>
              </w:rPr>
              <w:t xml:space="preserve">Completion Date </w:t>
            </w:r>
          </w:p>
        </w:tc>
      </w:tr>
      <w:tr w:rsidR="00E03946" w14:paraId="39BA23A2" w14:textId="77777777" w:rsidTr="00C055F8">
        <w:trPr>
          <w:gridAfter w:val="1"/>
          <w:wAfter w:w="26" w:type="dxa"/>
          <w:trHeight w:val="1395"/>
        </w:trPr>
        <w:tc>
          <w:tcPr>
            <w:tcW w:w="2547" w:type="dxa"/>
            <w:vMerge w:val="restart"/>
            <w:tcBorders>
              <w:top w:val="single" w:sz="4" w:space="0" w:color="auto"/>
              <w:left w:val="single" w:sz="4" w:space="0" w:color="auto"/>
              <w:bottom w:val="single" w:sz="4" w:space="0" w:color="auto"/>
              <w:right w:val="single" w:sz="4" w:space="0" w:color="auto"/>
            </w:tcBorders>
            <w:shd w:val="clear" w:color="auto" w:fill="auto"/>
          </w:tcPr>
          <w:p w14:paraId="39BA2394" w14:textId="77777777" w:rsidR="00C055F8" w:rsidRPr="00005F74" w:rsidRDefault="00F24962" w:rsidP="00C055F8">
            <w:pPr>
              <w:rPr>
                <w:rFonts w:cstheme="minorHAnsi"/>
                <w:b/>
                <w:color w:val="000000" w:themeColor="text1"/>
                <w:lang w:val="en-US"/>
              </w:rPr>
            </w:pPr>
            <w:r w:rsidRPr="00E6027D">
              <w:rPr>
                <w:rFonts w:ascii="Arial" w:eastAsia="Times New Roman" w:hAnsi="Arial" w:cs="Arial"/>
                <w:b/>
                <w:bCs/>
                <w:szCs w:val="20"/>
                <w:lang w:eastAsia="en-GB"/>
              </w:rPr>
              <w:t xml:space="preserve">Deliver a project to support the green agenda </w:t>
            </w:r>
          </w:p>
        </w:tc>
        <w:tc>
          <w:tcPr>
            <w:tcW w:w="1535" w:type="dxa"/>
            <w:shd w:val="clear" w:color="auto" w:fill="92D050"/>
            <w:vAlign w:val="center"/>
          </w:tcPr>
          <w:p w14:paraId="39BA2395" w14:textId="77777777" w:rsidR="00C055F8" w:rsidRPr="00F1025C" w:rsidRDefault="00F24962" w:rsidP="00C055F8">
            <w:pPr>
              <w:jc w:val="center"/>
              <w:rPr>
                <w:rFonts w:cstheme="minorHAnsi"/>
                <w:b/>
                <w:color w:val="FFFFFF" w:themeColor="background1"/>
                <w:lang w:val="en-US"/>
              </w:rPr>
            </w:pPr>
            <w:r w:rsidRPr="00F1025C">
              <w:rPr>
                <w:rFonts w:cstheme="minorHAnsi"/>
                <w:b/>
                <w:color w:val="FFFFFF" w:themeColor="background1"/>
                <w:lang w:val="en-US"/>
              </w:rPr>
              <w:t>Green</w:t>
            </w:r>
          </w:p>
        </w:tc>
        <w:tc>
          <w:tcPr>
            <w:tcW w:w="9238" w:type="dxa"/>
            <w:vMerge w:val="restart"/>
          </w:tcPr>
          <w:p w14:paraId="39BA2396" w14:textId="77777777" w:rsidR="00C055F8" w:rsidRDefault="00F24962" w:rsidP="00C055F8">
            <w:pPr>
              <w:rPr>
                <w:rFonts w:cstheme="minorHAnsi"/>
                <w:bCs/>
                <w:color w:val="000000" w:themeColor="text1"/>
                <w:lang w:val="en-US"/>
              </w:rPr>
            </w:pPr>
            <w:r>
              <w:rPr>
                <w:rFonts w:cstheme="minorHAnsi"/>
                <w:bCs/>
                <w:color w:val="000000" w:themeColor="text1"/>
                <w:lang w:val="en-US"/>
              </w:rPr>
              <w:t xml:space="preserve">The green agenda has many streams of work across its plan. Within the year works have progressed to </w:t>
            </w:r>
            <w:r w:rsidRPr="00240866">
              <w:rPr>
                <w:rFonts w:cstheme="minorHAnsi"/>
                <w:bCs/>
                <w:color w:val="000000" w:themeColor="text1"/>
                <w:lang w:val="en-US"/>
              </w:rPr>
              <w:t>install and commission four charging points</w:t>
            </w:r>
            <w:r>
              <w:rPr>
                <w:rFonts w:cstheme="minorHAnsi"/>
                <w:bCs/>
                <w:color w:val="000000" w:themeColor="text1"/>
                <w:lang w:val="en-US"/>
              </w:rPr>
              <w:t xml:space="preserve"> with the</w:t>
            </w:r>
            <w:r w:rsidRPr="00240866">
              <w:rPr>
                <w:rFonts w:cstheme="minorHAnsi"/>
                <w:bCs/>
                <w:color w:val="000000" w:themeColor="text1"/>
                <w:lang w:val="en-US"/>
              </w:rPr>
              <w:t xml:space="preserve"> installation process anticipated to be completed during quarter </w:t>
            </w:r>
            <w:r>
              <w:rPr>
                <w:rFonts w:cstheme="minorHAnsi"/>
                <w:bCs/>
                <w:color w:val="000000" w:themeColor="text1"/>
                <w:lang w:val="en-US"/>
              </w:rPr>
              <w:t>three 2021/22.</w:t>
            </w:r>
          </w:p>
          <w:p w14:paraId="39BA2397" w14:textId="77777777" w:rsidR="00C055F8" w:rsidRDefault="00F24962" w:rsidP="00C055F8">
            <w:pPr>
              <w:rPr>
                <w:rFonts w:cstheme="minorHAnsi"/>
                <w:bCs/>
                <w:color w:val="000000" w:themeColor="text1"/>
                <w:lang w:val="en-US"/>
              </w:rPr>
            </w:pPr>
          </w:p>
          <w:p w14:paraId="39BA2398" w14:textId="77777777" w:rsidR="00C055F8" w:rsidRDefault="00F24962" w:rsidP="00C055F8">
            <w:pPr>
              <w:rPr>
                <w:rFonts w:cstheme="minorHAnsi"/>
                <w:bCs/>
                <w:color w:val="000000" w:themeColor="text1"/>
                <w:lang w:val="en-US"/>
              </w:rPr>
            </w:pPr>
            <w:r w:rsidRPr="00240866">
              <w:rPr>
                <w:rFonts w:cstheme="minorHAnsi"/>
                <w:bCs/>
                <w:color w:val="000000" w:themeColor="text1"/>
                <w:lang w:val="en-US"/>
              </w:rPr>
              <w:lastRenderedPageBreak/>
              <w:t>Raising awareness to help tackle climate change, the Council hosted a virtual event for ‘World Environment Day’. The Facebook event reached 1,688 people and videos of the even</w:t>
            </w:r>
            <w:r w:rsidRPr="00240866">
              <w:rPr>
                <w:rFonts w:cstheme="minorHAnsi"/>
                <w:bCs/>
                <w:color w:val="000000" w:themeColor="text1"/>
                <w:lang w:val="en-US"/>
              </w:rPr>
              <w:t>t content were shared on the Council’s Facebook main page reaching a joint total of 11,500 people</w:t>
            </w:r>
          </w:p>
          <w:p w14:paraId="39BA2399" w14:textId="77777777" w:rsidR="00C055F8" w:rsidRDefault="00F24962" w:rsidP="00C055F8">
            <w:pPr>
              <w:rPr>
                <w:rFonts w:cstheme="minorHAnsi"/>
                <w:bCs/>
                <w:color w:val="000000" w:themeColor="text1"/>
                <w:lang w:val="en-US"/>
              </w:rPr>
            </w:pPr>
          </w:p>
          <w:p w14:paraId="39BA239A" w14:textId="77777777" w:rsidR="00C055F8" w:rsidRPr="00240866" w:rsidRDefault="00F24962" w:rsidP="00C055F8">
            <w:pPr>
              <w:rPr>
                <w:rFonts w:cstheme="minorHAnsi"/>
                <w:bCs/>
                <w:color w:val="000000" w:themeColor="text1"/>
                <w:lang w:val="en-US"/>
              </w:rPr>
            </w:pPr>
            <w:r>
              <w:rPr>
                <w:rFonts w:cstheme="minorHAnsi"/>
                <w:bCs/>
                <w:color w:val="000000" w:themeColor="text1"/>
                <w:lang w:val="en-US"/>
              </w:rPr>
              <w:t>There have been a series of improvements to outdoor paths and cycle networks which include:</w:t>
            </w:r>
          </w:p>
          <w:p w14:paraId="39BA239B" w14:textId="77777777" w:rsidR="00C055F8" w:rsidRPr="00240866" w:rsidRDefault="00F24962" w:rsidP="00C055F8">
            <w:pPr>
              <w:pStyle w:val="ListParagraph"/>
              <w:numPr>
                <w:ilvl w:val="0"/>
                <w:numId w:val="19"/>
              </w:numPr>
              <w:spacing w:after="0" w:line="240" w:lineRule="auto"/>
              <w:rPr>
                <w:rFonts w:cstheme="minorHAnsi"/>
                <w:bCs/>
                <w:color w:val="000000" w:themeColor="text1"/>
                <w:lang w:val="en-US"/>
              </w:rPr>
            </w:pPr>
            <w:r w:rsidRPr="00240866">
              <w:rPr>
                <w:rFonts w:cstheme="minorHAnsi"/>
                <w:bCs/>
                <w:color w:val="000000" w:themeColor="text1"/>
                <w:lang w:val="en-US"/>
              </w:rPr>
              <w:t xml:space="preserve">Leyland Loop Moss side connection </w:t>
            </w:r>
          </w:p>
          <w:p w14:paraId="39BA239C" w14:textId="77777777" w:rsidR="00C055F8" w:rsidRPr="00240866" w:rsidRDefault="00F24962" w:rsidP="00C055F8">
            <w:pPr>
              <w:pStyle w:val="ListParagraph"/>
              <w:numPr>
                <w:ilvl w:val="0"/>
                <w:numId w:val="19"/>
              </w:numPr>
              <w:spacing w:after="0" w:line="240" w:lineRule="auto"/>
              <w:rPr>
                <w:rFonts w:cstheme="minorHAnsi"/>
                <w:bCs/>
                <w:color w:val="000000" w:themeColor="text1"/>
                <w:lang w:val="en-US"/>
              </w:rPr>
            </w:pPr>
            <w:r w:rsidRPr="00240866">
              <w:rPr>
                <w:rFonts w:cstheme="minorHAnsi"/>
                <w:bCs/>
                <w:color w:val="000000" w:themeColor="text1"/>
                <w:lang w:val="en-US"/>
              </w:rPr>
              <w:t>Tarn wood compete</w:t>
            </w:r>
          </w:p>
          <w:p w14:paraId="39BA239D" w14:textId="77777777" w:rsidR="00C055F8" w:rsidRPr="00240866" w:rsidRDefault="00F24962" w:rsidP="00C055F8">
            <w:pPr>
              <w:pStyle w:val="ListParagraph"/>
              <w:numPr>
                <w:ilvl w:val="0"/>
                <w:numId w:val="19"/>
              </w:numPr>
              <w:spacing w:after="0" w:line="240" w:lineRule="auto"/>
              <w:rPr>
                <w:rFonts w:cstheme="minorHAnsi"/>
                <w:bCs/>
                <w:color w:val="000000" w:themeColor="text1"/>
                <w:lang w:val="en-US"/>
              </w:rPr>
            </w:pPr>
            <w:r w:rsidRPr="00240866">
              <w:rPr>
                <w:rFonts w:cstheme="minorHAnsi"/>
                <w:bCs/>
                <w:color w:val="000000" w:themeColor="text1"/>
                <w:lang w:val="en-US"/>
              </w:rPr>
              <w:t>Shruggs wood compete</w:t>
            </w:r>
          </w:p>
          <w:p w14:paraId="39BA239E" w14:textId="77777777" w:rsidR="00C055F8" w:rsidRPr="00240866" w:rsidRDefault="00F24962" w:rsidP="00C055F8">
            <w:pPr>
              <w:rPr>
                <w:rFonts w:cstheme="minorHAnsi"/>
                <w:bCs/>
                <w:color w:val="000000" w:themeColor="text1"/>
                <w:lang w:val="en-US"/>
              </w:rPr>
            </w:pPr>
          </w:p>
          <w:p w14:paraId="39BA239F" w14:textId="77777777" w:rsidR="00C055F8" w:rsidRPr="00240866" w:rsidRDefault="00F24962" w:rsidP="00C055F8">
            <w:pPr>
              <w:rPr>
                <w:rFonts w:cstheme="minorHAnsi"/>
                <w:bCs/>
                <w:color w:val="000000" w:themeColor="text1"/>
                <w:lang w:val="en-US"/>
              </w:rPr>
            </w:pPr>
            <w:r>
              <w:rPr>
                <w:rFonts w:cstheme="minorHAnsi"/>
                <w:bCs/>
                <w:color w:val="000000" w:themeColor="text1"/>
                <w:lang w:val="en-US"/>
              </w:rPr>
              <w:t xml:space="preserve">Solar installations at the Civic have been completed and a cycle storage facility at Moss Side depot. </w:t>
            </w:r>
          </w:p>
          <w:p w14:paraId="39BA23A0" w14:textId="77777777" w:rsidR="00C055F8" w:rsidRDefault="00F24962" w:rsidP="00C055F8">
            <w:pPr>
              <w:rPr>
                <w:rFonts w:cstheme="minorHAnsi"/>
                <w:bCs/>
                <w:color w:val="000000" w:themeColor="text1"/>
                <w:lang w:val="en-US"/>
              </w:rPr>
            </w:pPr>
          </w:p>
        </w:tc>
        <w:tc>
          <w:tcPr>
            <w:tcW w:w="1985" w:type="dxa"/>
            <w:vMerge w:val="restart"/>
          </w:tcPr>
          <w:p w14:paraId="39BA23A1" w14:textId="77777777" w:rsidR="00C055F8" w:rsidRDefault="00F24962" w:rsidP="00C055F8">
            <w:pPr>
              <w:rPr>
                <w:rFonts w:cstheme="minorHAnsi"/>
                <w:bCs/>
                <w:color w:val="000000" w:themeColor="text1"/>
                <w:lang w:val="en-US"/>
              </w:rPr>
            </w:pPr>
            <w:r w:rsidRPr="000A6A98">
              <w:rPr>
                <w:rFonts w:cstheme="minorHAnsi"/>
                <w:bCs/>
                <w:color w:val="000000" w:themeColor="text1"/>
                <w:lang w:val="en-US"/>
              </w:rPr>
              <w:lastRenderedPageBreak/>
              <w:t xml:space="preserve">This project will continue in to the 2021/2022 programme of </w:t>
            </w:r>
            <w:r w:rsidRPr="000A6A98">
              <w:rPr>
                <w:rFonts w:cstheme="minorHAnsi"/>
                <w:bCs/>
                <w:color w:val="000000" w:themeColor="text1"/>
                <w:lang w:val="en-US"/>
              </w:rPr>
              <w:lastRenderedPageBreak/>
              <w:t>corporate strateg</w:t>
            </w:r>
            <w:r w:rsidRPr="000A6A98">
              <w:rPr>
                <w:rFonts w:cstheme="minorHAnsi"/>
                <w:bCs/>
                <w:color w:val="000000" w:themeColor="text1"/>
                <w:lang w:val="en-US"/>
              </w:rPr>
              <w:t>y projects</w:t>
            </w:r>
          </w:p>
        </w:tc>
      </w:tr>
      <w:tr w:rsidR="00E03946" w14:paraId="39BA23A7" w14:textId="77777777" w:rsidTr="00C055F8">
        <w:trPr>
          <w:gridAfter w:val="1"/>
          <w:wAfter w:w="26" w:type="dxa"/>
          <w:trHeight w:val="1395"/>
        </w:trPr>
        <w:tc>
          <w:tcPr>
            <w:tcW w:w="2547" w:type="dxa"/>
            <w:vMerge/>
            <w:tcBorders>
              <w:top w:val="single" w:sz="4" w:space="0" w:color="auto"/>
              <w:left w:val="single" w:sz="4" w:space="0" w:color="auto"/>
              <w:bottom w:val="single" w:sz="4" w:space="0" w:color="auto"/>
              <w:right w:val="single" w:sz="4" w:space="0" w:color="auto"/>
            </w:tcBorders>
            <w:shd w:val="clear" w:color="auto" w:fill="auto"/>
          </w:tcPr>
          <w:p w14:paraId="39BA23A3" w14:textId="77777777" w:rsidR="00C055F8" w:rsidRPr="00005F74" w:rsidRDefault="00F24962" w:rsidP="00C055F8">
            <w:pPr>
              <w:rPr>
                <w:rFonts w:cstheme="minorHAnsi"/>
                <w:b/>
                <w:color w:val="000000" w:themeColor="text1"/>
                <w:lang w:val="en-US"/>
              </w:rPr>
            </w:pPr>
          </w:p>
        </w:tc>
        <w:tc>
          <w:tcPr>
            <w:tcW w:w="1535" w:type="dxa"/>
          </w:tcPr>
          <w:p w14:paraId="39BA23A4" w14:textId="77777777" w:rsidR="00C055F8" w:rsidRDefault="00F24962" w:rsidP="00C055F8">
            <w:pPr>
              <w:rPr>
                <w:rFonts w:cstheme="minorHAnsi"/>
                <w:bCs/>
                <w:color w:val="000000" w:themeColor="text1"/>
                <w:lang w:val="en-US"/>
              </w:rPr>
            </w:pPr>
          </w:p>
        </w:tc>
        <w:tc>
          <w:tcPr>
            <w:tcW w:w="9238" w:type="dxa"/>
            <w:vMerge/>
          </w:tcPr>
          <w:p w14:paraId="39BA23A5" w14:textId="77777777" w:rsidR="00C055F8" w:rsidRPr="00BF31AA" w:rsidRDefault="00F24962" w:rsidP="00C055F8"/>
        </w:tc>
        <w:tc>
          <w:tcPr>
            <w:tcW w:w="1985" w:type="dxa"/>
            <w:vMerge/>
            <w:vAlign w:val="center"/>
          </w:tcPr>
          <w:p w14:paraId="39BA23A6" w14:textId="77777777" w:rsidR="00C055F8" w:rsidRDefault="00F24962" w:rsidP="00C055F8">
            <w:pPr>
              <w:rPr>
                <w:rFonts w:cs="Arial"/>
              </w:rPr>
            </w:pPr>
          </w:p>
        </w:tc>
      </w:tr>
      <w:tr w:rsidR="00E03946" w14:paraId="39BA23B1" w14:textId="77777777" w:rsidTr="00C055F8">
        <w:trPr>
          <w:gridAfter w:val="1"/>
          <w:wAfter w:w="26" w:type="dxa"/>
          <w:trHeight w:val="1361"/>
        </w:trPr>
        <w:tc>
          <w:tcPr>
            <w:tcW w:w="2547" w:type="dxa"/>
            <w:vMerge w:val="restart"/>
            <w:tcBorders>
              <w:top w:val="single" w:sz="4" w:space="0" w:color="auto"/>
              <w:left w:val="single" w:sz="4" w:space="0" w:color="auto"/>
              <w:bottom w:val="single" w:sz="4" w:space="0" w:color="auto"/>
              <w:right w:val="single" w:sz="4" w:space="0" w:color="auto"/>
            </w:tcBorders>
            <w:shd w:val="clear" w:color="auto" w:fill="auto"/>
          </w:tcPr>
          <w:p w14:paraId="39BA23A8" w14:textId="77777777" w:rsidR="00C055F8" w:rsidRPr="00005F74" w:rsidRDefault="00F24962" w:rsidP="00C055F8">
            <w:pPr>
              <w:rPr>
                <w:rFonts w:cstheme="minorHAnsi"/>
                <w:b/>
                <w:color w:val="000000" w:themeColor="text1"/>
                <w:lang w:val="en-US"/>
              </w:rPr>
            </w:pPr>
            <w:r w:rsidRPr="00D312F8">
              <w:rPr>
                <w:rFonts w:ascii="Arial" w:eastAsia="Times New Roman" w:hAnsi="Arial" w:cs="Arial"/>
                <w:b/>
                <w:bCs/>
                <w:szCs w:val="20"/>
                <w:lang w:eastAsia="en-GB"/>
              </w:rPr>
              <w:t>Deliver a leisure improvement project</w:t>
            </w:r>
          </w:p>
        </w:tc>
        <w:tc>
          <w:tcPr>
            <w:tcW w:w="1535" w:type="dxa"/>
            <w:shd w:val="clear" w:color="auto" w:fill="92D050"/>
            <w:vAlign w:val="center"/>
          </w:tcPr>
          <w:p w14:paraId="39BA23A9" w14:textId="77777777" w:rsidR="00C055F8" w:rsidRPr="00301261" w:rsidRDefault="00F24962" w:rsidP="00C055F8">
            <w:pPr>
              <w:jc w:val="center"/>
              <w:rPr>
                <w:rFonts w:cstheme="minorHAnsi"/>
                <w:b/>
                <w:color w:val="FFFFFF" w:themeColor="background1"/>
                <w:lang w:val="en-US"/>
              </w:rPr>
            </w:pPr>
            <w:r>
              <w:rPr>
                <w:rFonts w:cstheme="minorHAnsi"/>
                <w:b/>
                <w:color w:val="FFFFFF" w:themeColor="background1"/>
                <w:lang w:val="en-US"/>
              </w:rPr>
              <w:t>Green</w:t>
            </w:r>
          </w:p>
        </w:tc>
        <w:tc>
          <w:tcPr>
            <w:tcW w:w="9238" w:type="dxa"/>
            <w:vMerge w:val="restart"/>
          </w:tcPr>
          <w:p w14:paraId="39BA23AA" w14:textId="77777777" w:rsidR="00C055F8" w:rsidRDefault="00F24962" w:rsidP="00C055F8">
            <w:pPr>
              <w:rPr>
                <w:rFonts w:cstheme="minorHAnsi"/>
                <w:bCs/>
                <w:color w:val="000000" w:themeColor="text1"/>
                <w:lang w:val="en-US"/>
              </w:rPr>
            </w:pPr>
            <w:r>
              <w:rPr>
                <w:rFonts w:cstheme="minorHAnsi"/>
                <w:bCs/>
                <w:color w:val="000000" w:themeColor="text1"/>
                <w:lang w:val="en-US"/>
              </w:rPr>
              <w:t>Works to the leisure centres</w:t>
            </w:r>
            <w:r>
              <w:rPr>
                <w:rFonts w:cstheme="minorHAnsi"/>
                <w:bCs/>
                <w:color w:val="000000" w:themeColor="text1"/>
                <w:lang w:val="en-US"/>
              </w:rPr>
              <w:t xml:space="preserve"> have included health and safety works as well as general improvement and upgrades. As part of the work </w:t>
            </w:r>
            <w:r w:rsidRPr="00E6027D">
              <w:rPr>
                <w:rFonts w:cstheme="minorHAnsi"/>
                <w:bCs/>
                <w:color w:val="000000" w:themeColor="text1"/>
                <w:lang w:val="en-US"/>
              </w:rPr>
              <w:t>decarbonisation plans</w:t>
            </w:r>
            <w:r>
              <w:rPr>
                <w:rFonts w:cstheme="minorHAnsi"/>
                <w:bCs/>
                <w:color w:val="000000" w:themeColor="text1"/>
                <w:lang w:val="en-US"/>
              </w:rPr>
              <w:t xml:space="preserve"> have been developed</w:t>
            </w:r>
            <w:r w:rsidRPr="00E6027D">
              <w:rPr>
                <w:rFonts w:cstheme="minorHAnsi"/>
                <w:bCs/>
                <w:color w:val="000000" w:themeColor="text1"/>
                <w:lang w:val="en-US"/>
              </w:rPr>
              <w:t xml:space="preserve">, </w:t>
            </w:r>
            <w:r>
              <w:rPr>
                <w:rFonts w:cstheme="minorHAnsi"/>
                <w:bCs/>
                <w:color w:val="000000" w:themeColor="text1"/>
                <w:lang w:val="en-US"/>
              </w:rPr>
              <w:t>which will support the council in</w:t>
            </w:r>
            <w:r w:rsidRPr="00E6027D">
              <w:rPr>
                <w:rFonts w:cstheme="minorHAnsi"/>
                <w:bCs/>
                <w:color w:val="000000" w:themeColor="text1"/>
                <w:lang w:val="en-US"/>
              </w:rPr>
              <w:t xml:space="preserve"> significantly reducing </w:t>
            </w:r>
            <w:r>
              <w:rPr>
                <w:rFonts w:cstheme="minorHAnsi"/>
                <w:bCs/>
                <w:color w:val="000000" w:themeColor="text1"/>
                <w:lang w:val="en-US"/>
              </w:rPr>
              <w:t>its carbon</w:t>
            </w:r>
            <w:r w:rsidRPr="00E6027D">
              <w:rPr>
                <w:rFonts w:cstheme="minorHAnsi"/>
                <w:bCs/>
                <w:color w:val="000000" w:themeColor="text1"/>
                <w:lang w:val="en-US"/>
              </w:rPr>
              <w:t xml:space="preserve"> footprint </w:t>
            </w:r>
            <w:r>
              <w:rPr>
                <w:rFonts w:cstheme="minorHAnsi"/>
                <w:bCs/>
                <w:color w:val="000000" w:themeColor="text1"/>
                <w:lang w:val="en-US"/>
              </w:rPr>
              <w:t xml:space="preserve">whilst ensuring it </w:t>
            </w:r>
            <w:r>
              <w:rPr>
                <w:rFonts w:cstheme="minorHAnsi"/>
                <w:bCs/>
                <w:color w:val="000000" w:themeColor="text1"/>
                <w:lang w:val="en-US"/>
              </w:rPr>
              <w:t>provides</w:t>
            </w:r>
            <w:r w:rsidRPr="00E6027D">
              <w:rPr>
                <w:rFonts w:cstheme="minorHAnsi"/>
                <w:bCs/>
                <w:color w:val="000000" w:themeColor="text1"/>
                <w:lang w:val="en-US"/>
              </w:rPr>
              <w:t xml:space="preserve"> good quality leisure facilities. </w:t>
            </w:r>
          </w:p>
          <w:p w14:paraId="39BA23AB" w14:textId="77777777" w:rsidR="00C055F8" w:rsidRDefault="00F24962" w:rsidP="00C055F8">
            <w:pPr>
              <w:rPr>
                <w:rFonts w:cstheme="minorHAnsi"/>
                <w:bCs/>
                <w:color w:val="000000" w:themeColor="text1"/>
                <w:lang w:val="en-US"/>
              </w:rPr>
            </w:pPr>
          </w:p>
          <w:p w14:paraId="39BA23AC" w14:textId="77777777" w:rsidR="00C055F8" w:rsidRDefault="00F24962" w:rsidP="00C055F8">
            <w:pPr>
              <w:rPr>
                <w:rFonts w:cstheme="minorHAnsi"/>
                <w:bCs/>
                <w:color w:val="000000" w:themeColor="text1"/>
                <w:lang w:val="en-US"/>
              </w:rPr>
            </w:pPr>
            <w:r w:rsidRPr="00E6027D">
              <w:rPr>
                <w:rFonts w:cstheme="minorHAnsi"/>
                <w:bCs/>
                <w:color w:val="000000" w:themeColor="text1"/>
                <w:lang w:val="en-US"/>
              </w:rPr>
              <w:t>The decarbonation grant applications totaling £3.4 million for projects such as solar panels, replacement of boilers where possible, window insulation and the installation of an energy management systems at all f</w:t>
            </w:r>
            <w:r w:rsidRPr="00E6027D">
              <w:rPr>
                <w:rFonts w:cstheme="minorHAnsi"/>
                <w:bCs/>
                <w:color w:val="000000" w:themeColor="text1"/>
                <w:lang w:val="en-US"/>
              </w:rPr>
              <w:t xml:space="preserve">our of the council owned leisure centres </w:t>
            </w:r>
            <w:r>
              <w:rPr>
                <w:rFonts w:cstheme="minorHAnsi"/>
                <w:bCs/>
                <w:color w:val="000000" w:themeColor="text1"/>
                <w:lang w:val="en-US"/>
              </w:rPr>
              <w:t>has been</w:t>
            </w:r>
            <w:r w:rsidRPr="00E6027D">
              <w:rPr>
                <w:rFonts w:cstheme="minorHAnsi"/>
                <w:bCs/>
                <w:color w:val="000000" w:themeColor="text1"/>
                <w:lang w:val="en-US"/>
              </w:rPr>
              <w:t xml:space="preserve"> complete</w:t>
            </w:r>
            <w:r>
              <w:rPr>
                <w:rFonts w:cstheme="minorHAnsi"/>
                <w:bCs/>
                <w:color w:val="000000" w:themeColor="text1"/>
                <w:lang w:val="en-US"/>
              </w:rPr>
              <w:t xml:space="preserve">d </w:t>
            </w:r>
            <w:r w:rsidRPr="00E6027D">
              <w:rPr>
                <w:rFonts w:cstheme="minorHAnsi"/>
                <w:bCs/>
                <w:color w:val="000000" w:themeColor="text1"/>
                <w:lang w:val="en-US"/>
              </w:rPr>
              <w:t xml:space="preserve">and will be submitted to the funding body in quarter three. </w:t>
            </w:r>
          </w:p>
          <w:p w14:paraId="39BA23AD" w14:textId="77777777" w:rsidR="00C055F8" w:rsidRDefault="00F24962" w:rsidP="00C055F8">
            <w:pPr>
              <w:rPr>
                <w:rFonts w:cstheme="minorHAnsi"/>
                <w:bCs/>
                <w:color w:val="000000" w:themeColor="text1"/>
                <w:lang w:val="en-US"/>
              </w:rPr>
            </w:pPr>
          </w:p>
          <w:p w14:paraId="39BA23AE" w14:textId="77777777" w:rsidR="00C055F8" w:rsidRDefault="00F24962" w:rsidP="00C055F8">
            <w:pPr>
              <w:rPr>
                <w:rFonts w:cstheme="minorHAnsi"/>
                <w:bCs/>
                <w:color w:val="000000" w:themeColor="text1"/>
                <w:lang w:val="en-US"/>
              </w:rPr>
            </w:pPr>
            <w:r>
              <w:rPr>
                <w:rFonts w:cstheme="minorHAnsi"/>
                <w:bCs/>
                <w:color w:val="000000" w:themeColor="text1"/>
                <w:lang w:val="en-US"/>
              </w:rPr>
              <w:t>Further improvements works are to begin shortly following the awarding of contracts for</w:t>
            </w:r>
            <w:r w:rsidRPr="00E6027D">
              <w:rPr>
                <w:rFonts w:cstheme="minorHAnsi"/>
                <w:bCs/>
                <w:color w:val="000000" w:themeColor="text1"/>
                <w:lang w:val="en-US"/>
              </w:rPr>
              <w:t xml:space="preserve"> the Tennis Centre car park extension</w:t>
            </w:r>
            <w:r>
              <w:rPr>
                <w:rFonts w:cstheme="minorHAnsi"/>
                <w:bCs/>
                <w:color w:val="000000" w:themeColor="text1"/>
                <w:lang w:val="en-US"/>
              </w:rPr>
              <w:t xml:space="preserve"> and the </w:t>
            </w:r>
            <w:r w:rsidRPr="00E6027D">
              <w:rPr>
                <w:rFonts w:cstheme="minorHAnsi"/>
                <w:bCs/>
                <w:color w:val="000000" w:themeColor="text1"/>
                <w:lang w:val="en-US"/>
              </w:rPr>
              <w:t>p</w:t>
            </w:r>
            <w:r w:rsidRPr="00E6027D">
              <w:rPr>
                <w:rFonts w:cstheme="minorHAnsi"/>
                <w:bCs/>
                <w:color w:val="000000" w:themeColor="text1"/>
                <w:lang w:val="en-US"/>
              </w:rPr>
              <w:t>ainting and cladding work for the leisure cent</w:t>
            </w:r>
            <w:r>
              <w:rPr>
                <w:rFonts w:cstheme="minorHAnsi"/>
                <w:bCs/>
                <w:color w:val="000000" w:themeColor="text1"/>
                <w:lang w:val="en-US"/>
              </w:rPr>
              <w:t>re</w:t>
            </w:r>
            <w:r w:rsidRPr="00E6027D">
              <w:rPr>
                <w:rFonts w:cstheme="minorHAnsi"/>
                <w:bCs/>
                <w:color w:val="000000" w:themeColor="text1"/>
                <w:lang w:val="en-US"/>
              </w:rPr>
              <w:t>s is to commence on site in quarter three.</w:t>
            </w:r>
          </w:p>
        </w:tc>
        <w:tc>
          <w:tcPr>
            <w:tcW w:w="1985" w:type="dxa"/>
            <w:vMerge w:val="restart"/>
          </w:tcPr>
          <w:p w14:paraId="39BA23AF" w14:textId="77777777" w:rsidR="00C055F8" w:rsidRDefault="00F24962" w:rsidP="00C055F8">
            <w:pPr>
              <w:rPr>
                <w:rFonts w:cstheme="minorHAnsi"/>
                <w:bCs/>
                <w:color w:val="000000" w:themeColor="text1"/>
                <w:lang w:val="en-US"/>
              </w:rPr>
            </w:pPr>
            <w:r w:rsidRPr="00E6027D">
              <w:rPr>
                <w:rFonts w:cstheme="minorHAnsi"/>
                <w:bCs/>
                <w:color w:val="000000" w:themeColor="text1"/>
                <w:lang w:val="en-US"/>
              </w:rPr>
              <w:t>This project will continue in to the 2021/2022 programme of corporate strategy projects</w:t>
            </w:r>
          </w:p>
          <w:p w14:paraId="39BA23B0" w14:textId="77777777" w:rsidR="00C055F8" w:rsidRDefault="00F24962" w:rsidP="00C055F8">
            <w:pPr>
              <w:rPr>
                <w:rFonts w:cstheme="minorHAnsi"/>
                <w:bCs/>
                <w:color w:val="000000" w:themeColor="text1"/>
                <w:lang w:val="en-US"/>
              </w:rPr>
            </w:pPr>
          </w:p>
        </w:tc>
      </w:tr>
      <w:tr w:rsidR="00E03946" w14:paraId="39BA23B6" w14:textId="77777777" w:rsidTr="00C055F8">
        <w:trPr>
          <w:gridAfter w:val="1"/>
          <w:wAfter w:w="26" w:type="dxa"/>
          <w:trHeight w:val="1770"/>
        </w:trPr>
        <w:tc>
          <w:tcPr>
            <w:tcW w:w="2547" w:type="dxa"/>
            <w:vMerge/>
            <w:tcBorders>
              <w:top w:val="single" w:sz="4" w:space="0" w:color="auto"/>
              <w:left w:val="single" w:sz="4" w:space="0" w:color="auto"/>
              <w:bottom w:val="single" w:sz="4" w:space="0" w:color="auto"/>
              <w:right w:val="single" w:sz="4" w:space="0" w:color="auto"/>
            </w:tcBorders>
            <w:shd w:val="clear" w:color="auto" w:fill="auto"/>
          </w:tcPr>
          <w:p w14:paraId="39BA23B2" w14:textId="77777777" w:rsidR="00C055F8" w:rsidRPr="00005F74" w:rsidRDefault="00F24962" w:rsidP="00C055F8">
            <w:pPr>
              <w:rPr>
                <w:rFonts w:cstheme="minorHAnsi"/>
                <w:bCs/>
                <w:color w:val="000000" w:themeColor="text1"/>
                <w:lang w:val="en-US"/>
              </w:rPr>
            </w:pPr>
          </w:p>
        </w:tc>
        <w:tc>
          <w:tcPr>
            <w:tcW w:w="1535" w:type="dxa"/>
          </w:tcPr>
          <w:p w14:paraId="39BA23B3" w14:textId="77777777" w:rsidR="00C055F8" w:rsidRDefault="00F24962" w:rsidP="00C055F8">
            <w:pPr>
              <w:rPr>
                <w:rFonts w:cstheme="minorHAnsi"/>
                <w:bCs/>
                <w:color w:val="000000" w:themeColor="text1"/>
                <w:lang w:val="en-US"/>
              </w:rPr>
            </w:pPr>
          </w:p>
        </w:tc>
        <w:tc>
          <w:tcPr>
            <w:tcW w:w="9238" w:type="dxa"/>
            <w:vMerge/>
          </w:tcPr>
          <w:p w14:paraId="39BA23B4" w14:textId="77777777" w:rsidR="00C055F8" w:rsidRPr="00005F74" w:rsidRDefault="00F24962" w:rsidP="00C055F8">
            <w:pPr>
              <w:rPr>
                <w:rFonts w:cstheme="minorHAnsi"/>
                <w:bCs/>
                <w:color w:val="000000" w:themeColor="text1"/>
                <w:lang w:val="en-US"/>
              </w:rPr>
            </w:pPr>
          </w:p>
        </w:tc>
        <w:tc>
          <w:tcPr>
            <w:tcW w:w="1985" w:type="dxa"/>
            <w:vMerge/>
          </w:tcPr>
          <w:p w14:paraId="39BA23B5" w14:textId="77777777" w:rsidR="00C055F8" w:rsidRDefault="00F24962" w:rsidP="00C055F8">
            <w:pPr>
              <w:rPr>
                <w:rFonts w:cstheme="minorHAnsi"/>
                <w:bCs/>
                <w:color w:val="000000" w:themeColor="text1"/>
                <w:lang w:val="en-US"/>
              </w:rPr>
            </w:pPr>
          </w:p>
        </w:tc>
      </w:tr>
      <w:tr w:rsidR="00E03946" w14:paraId="39BA23BF" w14:textId="77777777" w:rsidTr="00C055F8">
        <w:trPr>
          <w:gridAfter w:val="1"/>
          <w:wAfter w:w="26" w:type="dxa"/>
          <w:trHeight w:val="1337"/>
        </w:trPr>
        <w:tc>
          <w:tcPr>
            <w:tcW w:w="2547" w:type="dxa"/>
            <w:vMerge w:val="restart"/>
            <w:tcBorders>
              <w:top w:val="single" w:sz="4" w:space="0" w:color="auto"/>
              <w:left w:val="single" w:sz="4" w:space="0" w:color="auto"/>
              <w:bottom w:val="single" w:sz="4" w:space="0" w:color="auto"/>
              <w:right w:val="single" w:sz="4" w:space="0" w:color="auto"/>
            </w:tcBorders>
            <w:shd w:val="clear" w:color="auto" w:fill="auto"/>
          </w:tcPr>
          <w:p w14:paraId="39BA23B7" w14:textId="77777777" w:rsidR="00C055F8" w:rsidRDefault="00F24962" w:rsidP="00C055F8">
            <w:pPr>
              <w:rPr>
                <w:rFonts w:cstheme="minorHAnsi"/>
                <w:bCs/>
                <w:color w:val="000000" w:themeColor="text1"/>
                <w:lang w:val="en-US"/>
              </w:rPr>
            </w:pPr>
            <w:r w:rsidRPr="00D312F8">
              <w:rPr>
                <w:rFonts w:ascii="Arial" w:eastAsia="Times New Roman" w:hAnsi="Arial" w:cs="Arial"/>
                <w:b/>
                <w:bCs/>
                <w:szCs w:val="20"/>
                <w:lang w:eastAsia="en-GB"/>
              </w:rPr>
              <w:t>Bring Worden Hall back into use</w:t>
            </w:r>
          </w:p>
        </w:tc>
        <w:tc>
          <w:tcPr>
            <w:tcW w:w="1535" w:type="dxa"/>
            <w:shd w:val="clear" w:color="auto" w:fill="92D050"/>
            <w:vAlign w:val="center"/>
          </w:tcPr>
          <w:p w14:paraId="39BA23B8" w14:textId="77777777" w:rsidR="00C055F8" w:rsidRPr="00F1025C" w:rsidRDefault="00F24962" w:rsidP="00C055F8">
            <w:pPr>
              <w:jc w:val="center"/>
              <w:rPr>
                <w:rFonts w:cstheme="minorHAnsi"/>
                <w:b/>
                <w:color w:val="000000" w:themeColor="text1"/>
                <w:lang w:val="en-US"/>
              </w:rPr>
            </w:pPr>
            <w:r>
              <w:rPr>
                <w:rFonts w:cstheme="minorHAnsi"/>
                <w:b/>
                <w:color w:val="FFFFFF" w:themeColor="background1"/>
                <w:lang w:val="en-US"/>
              </w:rPr>
              <w:t>Green</w:t>
            </w:r>
          </w:p>
        </w:tc>
        <w:tc>
          <w:tcPr>
            <w:tcW w:w="9238" w:type="dxa"/>
            <w:vMerge w:val="restart"/>
          </w:tcPr>
          <w:p w14:paraId="39BA23B9" w14:textId="77777777" w:rsidR="00C055F8" w:rsidRDefault="00F24962" w:rsidP="00C055F8">
            <w:pPr>
              <w:rPr>
                <w:rFonts w:cstheme="minorHAnsi"/>
                <w:bCs/>
                <w:color w:val="000000" w:themeColor="text1"/>
                <w:lang w:val="en-US"/>
              </w:rPr>
            </w:pPr>
            <w:r>
              <w:rPr>
                <w:rFonts w:cstheme="minorHAnsi"/>
                <w:bCs/>
                <w:color w:val="000000" w:themeColor="text1"/>
                <w:lang w:val="en-US"/>
              </w:rPr>
              <w:t xml:space="preserve">The </w:t>
            </w:r>
            <w:r w:rsidRPr="00301261">
              <w:rPr>
                <w:rFonts w:cstheme="minorHAnsi"/>
                <w:bCs/>
                <w:color w:val="000000" w:themeColor="text1"/>
                <w:lang w:val="en-US"/>
              </w:rPr>
              <w:t xml:space="preserve">development to bring Worden Hall back into use as a flexible community and event space has progressed with a contractor being appointed to deliver the project. </w:t>
            </w:r>
          </w:p>
          <w:p w14:paraId="39BA23BA" w14:textId="77777777" w:rsidR="00C055F8" w:rsidRDefault="00F24962" w:rsidP="00C055F8">
            <w:pPr>
              <w:rPr>
                <w:rFonts w:cstheme="minorHAnsi"/>
                <w:bCs/>
                <w:color w:val="000000" w:themeColor="text1"/>
                <w:lang w:val="en-US"/>
              </w:rPr>
            </w:pPr>
          </w:p>
          <w:p w14:paraId="39BA23BB" w14:textId="77777777" w:rsidR="00C055F8" w:rsidRDefault="00F24962" w:rsidP="00C055F8">
            <w:pPr>
              <w:rPr>
                <w:rFonts w:cstheme="minorHAnsi"/>
                <w:bCs/>
                <w:color w:val="000000" w:themeColor="text1"/>
                <w:lang w:val="en-US"/>
              </w:rPr>
            </w:pPr>
            <w:r w:rsidRPr="00301261">
              <w:rPr>
                <w:rFonts w:cstheme="minorHAnsi"/>
                <w:bCs/>
                <w:color w:val="000000" w:themeColor="text1"/>
                <w:lang w:val="en-US"/>
              </w:rPr>
              <w:lastRenderedPageBreak/>
              <w:t>The refurbishment works began on site in August and a public drop-in engagement event has been</w:t>
            </w:r>
            <w:r w:rsidRPr="00301261">
              <w:rPr>
                <w:rFonts w:cstheme="minorHAnsi"/>
                <w:bCs/>
                <w:color w:val="000000" w:themeColor="text1"/>
                <w:lang w:val="en-US"/>
              </w:rPr>
              <w:t xml:space="preserve"> held at Worden Hall with 30 people attending. The event gave the public the opportunity review and ask questions about the refurbishment plans. </w:t>
            </w:r>
          </w:p>
          <w:p w14:paraId="39BA23BC" w14:textId="77777777" w:rsidR="00C055F8" w:rsidRDefault="00F24962" w:rsidP="00C055F8">
            <w:pPr>
              <w:rPr>
                <w:rFonts w:cstheme="minorHAnsi"/>
                <w:bCs/>
                <w:color w:val="000000" w:themeColor="text1"/>
                <w:lang w:val="en-US"/>
              </w:rPr>
            </w:pPr>
          </w:p>
          <w:p w14:paraId="39BA23BD" w14:textId="77777777" w:rsidR="00C055F8" w:rsidRDefault="00F24962" w:rsidP="00C055F8">
            <w:pPr>
              <w:rPr>
                <w:rFonts w:cstheme="minorHAnsi"/>
                <w:bCs/>
                <w:color w:val="000000" w:themeColor="text1"/>
                <w:lang w:val="en-US"/>
              </w:rPr>
            </w:pPr>
            <w:r w:rsidRPr="00301261">
              <w:rPr>
                <w:rFonts w:cstheme="minorHAnsi"/>
                <w:bCs/>
                <w:color w:val="000000" w:themeColor="text1"/>
                <w:lang w:val="en-US"/>
              </w:rPr>
              <w:t>Completed refurbishment works to the buildings include, the outbuilding and the old conservatory have been de</w:t>
            </w:r>
            <w:r w:rsidRPr="00301261">
              <w:rPr>
                <w:rFonts w:cstheme="minorHAnsi"/>
                <w:bCs/>
                <w:color w:val="000000" w:themeColor="text1"/>
                <w:lang w:val="en-US"/>
              </w:rPr>
              <w:t xml:space="preserve">molished under the supervision of an archaeologist; the infill of the old basement has also been completed to allow for the foundations for the new lift shaft and toilet block to be installed. </w:t>
            </w:r>
            <w:r>
              <w:rPr>
                <w:rFonts w:cstheme="minorHAnsi"/>
                <w:bCs/>
                <w:color w:val="000000" w:themeColor="text1"/>
                <w:lang w:val="en-US"/>
              </w:rPr>
              <w:t>F</w:t>
            </w:r>
            <w:r w:rsidRPr="00301261">
              <w:rPr>
                <w:rFonts w:cstheme="minorHAnsi"/>
                <w:bCs/>
                <w:color w:val="000000" w:themeColor="text1"/>
                <w:lang w:val="en-US"/>
              </w:rPr>
              <w:t>urther refurbishment works will be undertaken to the hall’s wi</w:t>
            </w:r>
            <w:r w:rsidRPr="00301261">
              <w:rPr>
                <w:rFonts w:cstheme="minorHAnsi"/>
                <w:bCs/>
                <w:color w:val="000000" w:themeColor="text1"/>
                <w:lang w:val="en-US"/>
              </w:rPr>
              <w:t>ndows, roof, drainage, lift shaft, toilets and new plant room buildings.</w:t>
            </w:r>
          </w:p>
        </w:tc>
        <w:tc>
          <w:tcPr>
            <w:tcW w:w="1985" w:type="dxa"/>
            <w:vMerge w:val="restart"/>
          </w:tcPr>
          <w:p w14:paraId="39BA23BE" w14:textId="77777777" w:rsidR="00C055F8" w:rsidRDefault="00F24962" w:rsidP="00C055F8">
            <w:pPr>
              <w:rPr>
                <w:rFonts w:cstheme="minorHAnsi"/>
                <w:bCs/>
                <w:color w:val="000000" w:themeColor="text1"/>
                <w:lang w:val="en-US"/>
              </w:rPr>
            </w:pPr>
            <w:r w:rsidRPr="00301261">
              <w:rPr>
                <w:rFonts w:cstheme="minorHAnsi"/>
                <w:bCs/>
                <w:color w:val="000000" w:themeColor="text1"/>
                <w:lang w:val="en-US"/>
              </w:rPr>
              <w:lastRenderedPageBreak/>
              <w:t xml:space="preserve">This project will continue in to the 2021/2022 programme of </w:t>
            </w:r>
            <w:r w:rsidRPr="00301261">
              <w:rPr>
                <w:rFonts w:cstheme="minorHAnsi"/>
                <w:bCs/>
                <w:color w:val="000000" w:themeColor="text1"/>
                <w:lang w:val="en-US"/>
              </w:rPr>
              <w:lastRenderedPageBreak/>
              <w:t>corporate strategy projects</w:t>
            </w:r>
          </w:p>
        </w:tc>
      </w:tr>
      <w:tr w:rsidR="00E03946" w14:paraId="39BA23C4" w14:textId="77777777" w:rsidTr="00C055F8">
        <w:trPr>
          <w:gridAfter w:val="1"/>
          <w:wAfter w:w="26" w:type="dxa"/>
          <w:trHeight w:val="1897"/>
        </w:trPr>
        <w:tc>
          <w:tcPr>
            <w:tcW w:w="2547" w:type="dxa"/>
            <w:vMerge/>
          </w:tcPr>
          <w:p w14:paraId="39BA23C0" w14:textId="77777777" w:rsidR="00C055F8" w:rsidRPr="0077663E" w:rsidRDefault="00F24962" w:rsidP="00C055F8">
            <w:pPr>
              <w:rPr>
                <w:rFonts w:ascii="Arial" w:eastAsia="Times New Roman" w:hAnsi="Arial" w:cs="Arial"/>
                <w:b/>
                <w:bCs/>
                <w:szCs w:val="20"/>
                <w:lang w:eastAsia="en-GB"/>
              </w:rPr>
            </w:pPr>
          </w:p>
        </w:tc>
        <w:tc>
          <w:tcPr>
            <w:tcW w:w="1535" w:type="dxa"/>
          </w:tcPr>
          <w:p w14:paraId="39BA23C1" w14:textId="77777777" w:rsidR="00C055F8" w:rsidRDefault="00F24962" w:rsidP="00C055F8">
            <w:pPr>
              <w:rPr>
                <w:rFonts w:cstheme="minorHAnsi"/>
                <w:bCs/>
                <w:color w:val="000000" w:themeColor="text1"/>
                <w:lang w:val="en-US"/>
              </w:rPr>
            </w:pPr>
          </w:p>
        </w:tc>
        <w:tc>
          <w:tcPr>
            <w:tcW w:w="9238" w:type="dxa"/>
            <w:vMerge/>
          </w:tcPr>
          <w:p w14:paraId="39BA23C2" w14:textId="77777777" w:rsidR="00C055F8" w:rsidRDefault="00F24962" w:rsidP="00C055F8">
            <w:pPr>
              <w:rPr>
                <w:rFonts w:cstheme="minorHAnsi"/>
                <w:bCs/>
                <w:color w:val="000000" w:themeColor="text1"/>
                <w:lang w:val="en-US"/>
              </w:rPr>
            </w:pPr>
          </w:p>
        </w:tc>
        <w:tc>
          <w:tcPr>
            <w:tcW w:w="1985" w:type="dxa"/>
            <w:vMerge/>
          </w:tcPr>
          <w:p w14:paraId="39BA23C3" w14:textId="77777777" w:rsidR="00C055F8" w:rsidRDefault="00F24962" w:rsidP="00C055F8">
            <w:pPr>
              <w:rPr>
                <w:rFonts w:cstheme="minorHAnsi"/>
                <w:bCs/>
                <w:color w:val="000000" w:themeColor="text1"/>
                <w:lang w:val="en-US"/>
              </w:rPr>
            </w:pPr>
          </w:p>
        </w:tc>
      </w:tr>
      <w:tr w:rsidR="00E03946" w14:paraId="39BA23CE" w14:textId="77777777" w:rsidTr="00C055F8">
        <w:trPr>
          <w:gridAfter w:val="1"/>
          <w:wAfter w:w="26" w:type="dxa"/>
          <w:trHeight w:val="945"/>
        </w:trPr>
        <w:tc>
          <w:tcPr>
            <w:tcW w:w="2547" w:type="dxa"/>
            <w:vMerge w:val="restart"/>
          </w:tcPr>
          <w:p w14:paraId="39BA23C5" w14:textId="77777777" w:rsidR="00C055F8" w:rsidRPr="0077663E" w:rsidRDefault="00F24962" w:rsidP="00C055F8">
            <w:pPr>
              <w:rPr>
                <w:rFonts w:ascii="Arial" w:eastAsia="Times New Roman" w:hAnsi="Arial" w:cs="Arial"/>
                <w:b/>
                <w:bCs/>
                <w:szCs w:val="20"/>
                <w:lang w:eastAsia="en-GB"/>
              </w:rPr>
            </w:pPr>
            <w:r w:rsidRPr="00E6027D">
              <w:rPr>
                <w:rFonts w:ascii="Arial" w:eastAsia="Times New Roman" w:hAnsi="Arial" w:cs="Arial"/>
                <w:b/>
                <w:bCs/>
                <w:szCs w:val="20"/>
                <w:lang w:eastAsia="en-GB"/>
              </w:rPr>
              <w:t>Commence building of affordable homes within the borough</w:t>
            </w:r>
          </w:p>
        </w:tc>
        <w:tc>
          <w:tcPr>
            <w:tcW w:w="1535" w:type="dxa"/>
            <w:shd w:val="clear" w:color="auto" w:fill="92D050"/>
            <w:vAlign w:val="center"/>
          </w:tcPr>
          <w:p w14:paraId="39BA23C6" w14:textId="77777777" w:rsidR="00C055F8" w:rsidRPr="00301261" w:rsidRDefault="00F24962" w:rsidP="00C055F8">
            <w:pPr>
              <w:jc w:val="center"/>
              <w:rPr>
                <w:rFonts w:cstheme="minorHAnsi"/>
                <w:b/>
                <w:color w:val="000000" w:themeColor="text1"/>
                <w:lang w:val="en-US"/>
              </w:rPr>
            </w:pPr>
            <w:r w:rsidRPr="00301261">
              <w:rPr>
                <w:rFonts w:cstheme="minorHAnsi"/>
                <w:b/>
                <w:color w:val="FFFFFF" w:themeColor="background1"/>
                <w:lang w:val="en-US"/>
              </w:rPr>
              <w:t>Green</w:t>
            </w:r>
          </w:p>
        </w:tc>
        <w:tc>
          <w:tcPr>
            <w:tcW w:w="9238" w:type="dxa"/>
            <w:vMerge w:val="restart"/>
          </w:tcPr>
          <w:p w14:paraId="39BA23C7" w14:textId="77777777" w:rsidR="00C055F8" w:rsidRDefault="00F24962" w:rsidP="00C055F8">
            <w:pPr>
              <w:rPr>
                <w:rFonts w:cstheme="minorHAnsi"/>
                <w:bCs/>
                <w:color w:val="000000" w:themeColor="text1"/>
                <w:lang w:val="en-US"/>
              </w:rPr>
            </w:pPr>
            <w:r>
              <w:rPr>
                <w:rFonts w:cstheme="minorHAnsi"/>
                <w:bCs/>
                <w:color w:val="000000" w:themeColor="text1"/>
                <w:lang w:val="en-US"/>
              </w:rPr>
              <w:t xml:space="preserve">Within the year, affordable housing units have been delivered following the opening of Tom Hanson House. Further progress has been made with the two remaining schemes. </w:t>
            </w:r>
          </w:p>
          <w:p w14:paraId="39BA23C8" w14:textId="77777777" w:rsidR="00C055F8" w:rsidRDefault="00F24962" w:rsidP="00C055F8">
            <w:pPr>
              <w:rPr>
                <w:rFonts w:cstheme="minorHAnsi"/>
                <w:bCs/>
                <w:color w:val="000000" w:themeColor="text1"/>
                <w:lang w:val="en-US"/>
              </w:rPr>
            </w:pPr>
          </w:p>
          <w:p w14:paraId="39BA23C9" w14:textId="77777777" w:rsidR="00C055F8" w:rsidRDefault="00F24962" w:rsidP="00C055F8">
            <w:pPr>
              <w:rPr>
                <w:rFonts w:cstheme="minorHAnsi"/>
                <w:bCs/>
                <w:color w:val="000000" w:themeColor="text1"/>
                <w:lang w:val="en-US"/>
              </w:rPr>
            </w:pPr>
            <w:r>
              <w:rPr>
                <w:rFonts w:cstheme="minorHAnsi"/>
                <w:bCs/>
                <w:color w:val="000000" w:themeColor="text1"/>
                <w:lang w:val="en-US"/>
              </w:rPr>
              <w:t>A contractor has been appointed</w:t>
            </w:r>
            <w:r w:rsidRPr="00E6027D">
              <w:rPr>
                <w:rFonts w:cstheme="minorHAnsi"/>
                <w:bCs/>
                <w:color w:val="000000" w:themeColor="text1"/>
                <w:lang w:val="en-US"/>
              </w:rPr>
              <w:t xml:space="preserve"> for the development of the McKenzie Arms, </w:t>
            </w:r>
            <w:r>
              <w:rPr>
                <w:rFonts w:cstheme="minorHAnsi"/>
                <w:bCs/>
                <w:color w:val="000000" w:themeColor="text1"/>
                <w:lang w:val="en-US"/>
              </w:rPr>
              <w:t>and work</w:t>
            </w:r>
            <w:r w:rsidRPr="00E6027D">
              <w:rPr>
                <w:rFonts w:cstheme="minorHAnsi"/>
                <w:bCs/>
                <w:color w:val="000000" w:themeColor="text1"/>
                <w:lang w:val="en-US"/>
              </w:rPr>
              <w:t xml:space="preserve"> on </w:t>
            </w:r>
            <w:r w:rsidRPr="00E6027D">
              <w:rPr>
                <w:rFonts w:cstheme="minorHAnsi"/>
                <w:bCs/>
                <w:color w:val="000000" w:themeColor="text1"/>
                <w:lang w:val="en-US"/>
              </w:rPr>
              <w:t xml:space="preserve">site is to commence </w:t>
            </w:r>
            <w:r>
              <w:rPr>
                <w:rFonts w:cstheme="minorHAnsi"/>
                <w:bCs/>
                <w:color w:val="000000" w:themeColor="text1"/>
                <w:lang w:val="en-US"/>
              </w:rPr>
              <w:t xml:space="preserve">together with submission to </w:t>
            </w:r>
            <w:r w:rsidRPr="00E6027D">
              <w:rPr>
                <w:rFonts w:cstheme="minorHAnsi"/>
                <w:bCs/>
                <w:color w:val="000000" w:themeColor="text1"/>
                <w:lang w:val="en-US"/>
              </w:rPr>
              <w:t xml:space="preserve">Homes England </w:t>
            </w:r>
            <w:r>
              <w:rPr>
                <w:rFonts w:cstheme="minorHAnsi"/>
                <w:bCs/>
                <w:color w:val="000000" w:themeColor="text1"/>
                <w:lang w:val="en-US"/>
              </w:rPr>
              <w:t>for funding</w:t>
            </w:r>
            <w:r w:rsidRPr="00E6027D">
              <w:rPr>
                <w:rFonts w:cstheme="minorHAnsi"/>
                <w:bCs/>
                <w:color w:val="000000" w:themeColor="text1"/>
                <w:lang w:val="en-US"/>
              </w:rPr>
              <w:t xml:space="preserve"> as part of the Affordable Homes Programme. The McKenzie Arms development will provide 15 new quality affordable homes in Bamber Bridge. </w:t>
            </w:r>
          </w:p>
          <w:p w14:paraId="39BA23CA" w14:textId="77777777" w:rsidR="00C055F8" w:rsidRDefault="00F24962" w:rsidP="00C055F8">
            <w:pPr>
              <w:rPr>
                <w:rFonts w:cstheme="minorHAnsi"/>
                <w:bCs/>
                <w:color w:val="000000" w:themeColor="text1"/>
                <w:lang w:val="en-US"/>
              </w:rPr>
            </w:pPr>
          </w:p>
          <w:p w14:paraId="39BA23CB" w14:textId="77777777" w:rsidR="00C055F8" w:rsidRDefault="00F24962" w:rsidP="00C055F8">
            <w:pPr>
              <w:rPr>
                <w:rFonts w:cstheme="minorHAnsi"/>
                <w:bCs/>
                <w:color w:val="000000" w:themeColor="text1"/>
                <w:lang w:val="en-US"/>
              </w:rPr>
            </w:pPr>
            <w:r w:rsidRPr="00E6027D">
              <w:rPr>
                <w:rFonts w:cstheme="minorHAnsi"/>
                <w:bCs/>
                <w:color w:val="000000" w:themeColor="text1"/>
                <w:lang w:val="en-US"/>
              </w:rPr>
              <w:t>The Extra Care scheme will provide apartment</w:t>
            </w:r>
            <w:r w:rsidRPr="00E6027D">
              <w:rPr>
                <w:rFonts w:cstheme="minorHAnsi"/>
                <w:bCs/>
                <w:color w:val="000000" w:themeColor="text1"/>
                <w:lang w:val="en-US"/>
              </w:rPr>
              <w:t xml:space="preserve">s and extra care and support for older residents and at the same time allowing them to live independent lives as part of the local community. The Extra Care scheme has moved forward with a team of consultants being appointed to deliver a feasibility study </w:t>
            </w:r>
            <w:r w:rsidRPr="00E6027D">
              <w:rPr>
                <w:rFonts w:cstheme="minorHAnsi"/>
                <w:bCs/>
                <w:color w:val="000000" w:themeColor="text1"/>
                <w:lang w:val="en-US"/>
              </w:rPr>
              <w:t>and initial options appraisals. Cabinet has approved the use of the land on West Paddock next to the Civic Centre for the proposed Extra Care facility. Looking ahead to next quarter. A public consultation is to commence for the Extra Care scheme and work w</w:t>
            </w:r>
            <w:r w:rsidRPr="00E6027D">
              <w:rPr>
                <w:rFonts w:cstheme="minorHAnsi"/>
                <w:bCs/>
                <w:color w:val="000000" w:themeColor="text1"/>
                <w:lang w:val="en-US"/>
              </w:rPr>
              <w:t>ill begin to progress stage two of the design.</w:t>
            </w:r>
          </w:p>
          <w:p w14:paraId="39BA23CC" w14:textId="77777777" w:rsidR="00C055F8" w:rsidRDefault="00F24962" w:rsidP="00C055F8">
            <w:pPr>
              <w:rPr>
                <w:rFonts w:cstheme="minorHAnsi"/>
                <w:bCs/>
                <w:color w:val="000000" w:themeColor="text1"/>
                <w:lang w:val="en-US"/>
              </w:rPr>
            </w:pPr>
          </w:p>
        </w:tc>
        <w:tc>
          <w:tcPr>
            <w:tcW w:w="1985" w:type="dxa"/>
            <w:vMerge w:val="restart"/>
          </w:tcPr>
          <w:p w14:paraId="39BA23CD" w14:textId="77777777" w:rsidR="00C055F8" w:rsidRDefault="00F24962" w:rsidP="00C055F8">
            <w:pPr>
              <w:rPr>
                <w:rFonts w:cstheme="minorHAnsi"/>
                <w:bCs/>
                <w:color w:val="000000" w:themeColor="text1"/>
                <w:lang w:val="en-US"/>
              </w:rPr>
            </w:pPr>
            <w:r w:rsidRPr="00E6027D">
              <w:rPr>
                <w:rFonts w:cstheme="minorHAnsi"/>
                <w:bCs/>
                <w:color w:val="000000" w:themeColor="text1"/>
                <w:lang w:val="en-US"/>
              </w:rPr>
              <w:t>This project will continue in to the 2021/2022 programme of corporate strategy projects</w:t>
            </w:r>
          </w:p>
        </w:tc>
      </w:tr>
      <w:tr w:rsidR="00E03946" w14:paraId="39BA23D3" w14:textId="77777777" w:rsidTr="00C055F8">
        <w:trPr>
          <w:gridAfter w:val="1"/>
          <w:wAfter w:w="26" w:type="dxa"/>
          <w:trHeight w:val="945"/>
        </w:trPr>
        <w:tc>
          <w:tcPr>
            <w:tcW w:w="2547" w:type="dxa"/>
            <w:vMerge/>
          </w:tcPr>
          <w:p w14:paraId="39BA23CF" w14:textId="77777777" w:rsidR="00C055F8" w:rsidRPr="00301261" w:rsidRDefault="00F24962" w:rsidP="00C055F8">
            <w:pPr>
              <w:rPr>
                <w:rFonts w:ascii="Arial" w:eastAsia="Times New Roman" w:hAnsi="Arial" w:cs="Arial"/>
                <w:b/>
                <w:bCs/>
                <w:szCs w:val="20"/>
                <w:lang w:eastAsia="en-GB"/>
              </w:rPr>
            </w:pPr>
          </w:p>
        </w:tc>
        <w:tc>
          <w:tcPr>
            <w:tcW w:w="1535" w:type="dxa"/>
            <w:shd w:val="clear" w:color="auto" w:fill="auto"/>
            <w:vAlign w:val="center"/>
          </w:tcPr>
          <w:p w14:paraId="39BA23D0" w14:textId="77777777" w:rsidR="00C055F8" w:rsidRPr="00301261" w:rsidRDefault="00F24962" w:rsidP="00C055F8">
            <w:pPr>
              <w:jc w:val="center"/>
              <w:rPr>
                <w:rFonts w:cstheme="minorHAnsi"/>
                <w:b/>
                <w:color w:val="FFFFFF" w:themeColor="background1"/>
                <w:lang w:val="en-US"/>
              </w:rPr>
            </w:pPr>
          </w:p>
        </w:tc>
        <w:tc>
          <w:tcPr>
            <w:tcW w:w="9238" w:type="dxa"/>
            <w:vMerge/>
          </w:tcPr>
          <w:p w14:paraId="39BA23D1" w14:textId="77777777" w:rsidR="00C055F8" w:rsidRDefault="00F24962" w:rsidP="00C055F8">
            <w:pPr>
              <w:rPr>
                <w:rFonts w:cstheme="minorHAnsi"/>
                <w:bCs/>
                <w:color w:val="000000" w:themeColor="text1"/>
                <w:lang w:val="en-US"/>
              </w:rPr>
            </w:pPr>
          </w:p>
        </w:tc>
        <w:tc>
          <w:tcPr>
            <w:tcW w:w="1985" w:type="dxa"/>
            <w:vMerge/>
          </w:tcPr>
          <w:p w14:paraId="39BA23D2" w14:textId="77777777" w:rsidR="00C055F8" w:rsidRDefault="00F24962" w:rsidP="00C055F8">
            <w:pPr>
              <w:rPr>
                <w:rFonts w:cstheme="minorHAnsi"/>
                <w:bCs/>
                <w:color w:val="000000" w:themeColor="text1"/>
                <w:lang w:val="en-US"/>
              </w:rPr>
            </w:pPr>
          </w:p>
        </w:tc>
      </w:tr>
    </w:tbl>
    <w:p w14:paraId="39BA23D4" w14:textId="77777777" w:rsidR="00C055F8" w:rsidRPr="005C459D" w:rsidRDefault="00F24962">
      <w:pPr>
        <w:rPr>
          <w:rFonts w:cstheme="minorHAnsi"/>
          <w:bCs/>
          <w:color w:val="000000" w:themeColor="text1"/>
          <w:lang w:val="en-US"/>
        </w:rPr>
      </w:pPr>
    </w:p>
    <w:sectPr w:rsidR="00C055F8" w:rsidRPr="005C459D" w:rsidSect="00C055F8">
      <w:headerReference w:type="default" r:id="rId9"/>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BA23DD" w14:textId="77777777" w:rsidR="00000000" w:rsidRDefault="00F24962">
      <w:pPr>
        <w:spacing w:after="0" w:line="240" w:lineRule="auto"/>
      </w:pPr>
      <w:r>
        <w:separator/>
      </w:r>
    </w:p>
  </w:endnote>
  <w:endnote w:type="continuationSeparator" w:id="0">
    <w:p w14:paraId="39BA23DF" w14:textId="77777777" w:rsidR="00000000" w:rsidRDefault="00F249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BA23D9" w14:textId="77777777" w:rsidR="00000000" w:rsidRDefault="00F24962">
      <w:pPr>
        <w:spacing w:after="0" w:line="240" w:lineRule="auto"/>
      </w:pPr>
      <w:r>
        <w:separator/>
      </w:r>
    </w:p>
  </w:footnote>
  <w:footnote w:type="continuationSeparator" w:id="0">
    <w:p w14:paraId="39BA23DB" w14:textId="77777777" w:rsidR="00000000" w:rsidRDefault="00F249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BA23D7" w14:textId="77777777" w:rsidR="00C055F8" w:rsidRDefault="00F24962">
    <w:pPr>
      <w:pStyle w:val="Header"/>
    </w:pPr>
    <w:r>
      <w:t>Appendix A – Summary of Corporate Strategy Projects 2020/2021</w:t>
    </w:r>
  </w:p>
  <w:p w14:paraId="39BA23D8" w14:textId="77777777" w:rsidR="00C055F8" w:rsidRDefault="00F249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50EB7"/>
    <w:multiLevelType w:val="hybridMultilevel"/>
    <w:tmpl w:val="7FA20296"/>
    <w:lvl w:ilvl="0" w:tplc="74BAA830">
      <w:start w:val="1"/>
      <w:numFmt w:val="bullet"/>
      <w:lvlText w:val=""/>
      <w:lvlJc w:val="left"/>
      <w:pPr>
        <w:ind w:left="720" w:hanging="360"/>
      </w:pPr>
      <w:rPr>
        <w:rFonts w:ascii="Symbol" w:hAnsi="Symbol" w:hint="default"/>
      </w:rPr>
    </w:lvl>
    <w:lvl w:ilvl="1" w:tplc="B0869876" w:tentative="1">
      <w:start w:val="1"/>
      <w:numFmt w:val="bullet"/>
      <w:lvlText w:val="o"/>
      <w:lvlJc w:val="left"/>
      <w:pPr>
        <w:ind w:left="1440" w:hanging="360"/>
      </w:pPr>
      <w:rPr>
        <w:rFonts w:ascii="Courier New" w:hAnsi="Courier New" w:cs="Courier New" w:hint="default"/>
      </w:rPr>
    </w:lvl>
    <w:lvl w:ilvl="2" w:tplc="80CECB2E" w:tentative="1">
      <w:start w:val="1"/>
      <w:numFmt w:val="bullet"/>
      <w:lvlText w:val=""/>
      <w:lvlJc w:val="left"/>
      <w:pPr>
        <w:ind w:left="2160" w:hanging="360"/>
      </w:pPr>
      <w:rPr>
        <w:rFonts w:ascii="Wingdings" w:hAnsi="Wingdings" w:hint="default"/>
      </w:rPr>
    </w:lvl>
    <w:lvl w:ilvl="3" w:tplc="3B82399E" w:tentative="1">
      <w:start w:val="1"/>
      <w:numFmt w:val="bullet"/>
      <w:lvlText w:val=""/>
      <w:lvlJc w:val="left"/>
      <w:pPr>
        <w:ind w:left="2880" w:hanging="360"/>
      </w:pPr>
      <w:rPr>
        <w:rFonts w:ascii="Symbol" w:hAnsi="Symbol" w:hint="default"/>
      </w:rPr>
    </w:lvl>
    <w:lvl w:ilvl="4" w:tplc="C656438E" w:tentative="1">
      <w:start w:val="1"/>
      <w:numFmt w:val="bullet"/>
      <w:lvlText w:val="o"/>
      <w:lvlJc w:val="left"/>
      <w:pPr>
        <w:ind w:left="3600" w:hanging="360"/>
      </w:pPr>
      <w:rPr>
        <w:rFonts w:ascii="Courier New" w:hAnsi="Courier New" w:cs="Courier New" w:hint="default"/>
      </w:rPr>
    </w:lvl>
    <w:lvl w:ilvl="5" w:tplc="0BD65088" w:tentative="1">
      <w:start w:val="1"/>
      <w:numFmt w:val="bullet"/>
      <w:lvlText w:val=""/>
      <w:lvlJc w:val="left"/>
      <w:pPr>
        <w:ind w:left="4320" w:hanging="360"/>
      </w:pPr>
      <w:rPr>
        <w:rFonts w:ascii="Wingdings" w:hAnsi="Wingdings" w:hint="default"/>
      </w:rPr>
    </w:lvl>
    <w:lvl w:ilvl="6" w:tplc="0506EF30" w:tentative="1">
      <w:start w:val="1"/>
      <w:numFmt w:val="bullet"/>
      <w:lvlText w:val=""/>
      <w:lvlJc w:val="left"/>
      <w:pPr>
        <w:ind w:left="5040" w:hanging="360"/>
      </w:pPr>
      <w:rPr>
        <w:rFonts w:ascii="Symbol" w:hAnsi="Symbol" w:hint="default"/>
      </w:rPr>
    </w:lvl>
    <w:lvl w:ilvl="7" w:tplc="C32A9D22" w:tentative="1">
      <w:start w:val="1"/>
      <w:numFmt w:val="bullet"/>
      <w:lvlText w:val="o"/>
      <w:lvlJc w:val="left"/>
      <w:pPr>
        <w:ind w:left="5760" w:hanging="360"/>
      </w:pPr>
      <w:rPr>
        <w:rFonts w:ascii="Courier New" w:hAnsi="Courier New" w:cs="Courier New" w:hint="default"/>
      </w:rPr>
    </w:lvl>
    <w:lvl w:ilvl="8" w:tplc="A9E68B34" w:tentative="1">
      <w:start w:val="1"/>
      <w:numFmt w:val="bullet"/>
      <w:lvlText w:val=""/>
      <w:lvlJc w:val="left"/>
      <w:pPr>
        <w:ind w:left="6480" w:hanging="360"/>
      </w:pPr>
      <w:rPr>
        <w:rFonts w:ascii="Wingdings" w:hAnsi="Wingdings" w:hint="default"/>
      </w:rPr>
    </w:lvl>
  </w:abstractNum>
  <w:abstractNum w:abstractNumId="1" w15:restartNumberingAfterBreak="0">
    <w:nsid w:val="126F4DED"/>
    <w:multiLevelType w:val="hybridMultilevel"/>
    <w:tmpl w:val="851609AA"/>
    <w:lvl w:ilvl="0" w:tplc="A27E231A">
      <w:start w:val="1"/>
      <w:numFmt w:val="bullet"/>
      <w:lvlText w:val=""/>
      <w:lvlJc w:val="left"/>
      <w:pPr>
        <w:ind w:left="1440" w:hanging="360"/>
      </w:pPr>
      <w:rPr>
        <w:rFonts w:ascii="Symbol" w:hAnsi="Symbol" w:hint="default"/>
        <w:b w:val="0"/>
      </w:rPr>
    </w:lvl>
    <w:lvl w:ilvl="1" w:tplc="F9CA4F1E" w:tentative="1">
      <w:start w:val="1"/>
      <w:numFmt w:val="lowerLetter"/>
      <w:lvlText w:val="%2."/>
      <w:lvlJc w:val="left"/>
      <w:pPr>
        <w:ind w:left="2160" w:hanging="360"/>
      </w:pPr>
    </w:lvl>
    <w:lvl w:ilvl="2" w:tplc="89560ED2" w:tentative="1">
      <w:start w:val="1"/>
      <w:numFmt w:val="lowerRoman"/>
      <w:lvlText w:val="%3."/>
      <w:lvlJc w:val="right"/>
      <w:pPr>
        <w:ind w:left="2880" w:hanging="180"/>
      </w:pPr>
    </w:lvl>
    <w:lvl w:ilvl="3" w:tplc="0D4A564E" w:tentative="1">
      <w:start w:val="1"/>
      <w:numFmt w:val="decimal"/>
      <w:lvlText w:val="%4."/>
      <w:lvlJc w:val="left"/>
      <w:pPr>
        <w:ind w:left="3600" w:hanging="360"/>
      </w:pPr>
    </w:lvl>
    <w:lvl w:ilvl="4" w:tplc="4E26581E" w:tentative="1">
      <w:start w:val="1"/>
      <w:numFmt w:val="lowerLetter"/>
      <w:lvlText w:val="%5."/>
      <w:lvlJc w:val="left"/>
      <w:pPr>
        <w:ind w:left="4320" w:hanging="360"/>
      </w:pPr>
    </w:lvl>
    <w:lvl w:ilvl="5" w:tplc="E17CDBFC" w:tentative="1">
      <w:start w:val="1"/>
      <w:numFmt w:val="lowerRoman"/>
      <w:lvlText w:val="%6."/>
      <w:lvlJc w:val="right"/>
      <w:pPr>
        <w:ind w:left="5040" w:hanging="180"/>
      </w:pPr>
    </w:lvl>
    <w:lvl w:ilvl="6" w:tplc="D49E50E2" w:tentative="1">
      <w:start w:val="1"/>
      <w:numFmt w:val="decimal"/>
      <w:lvlText w:val="%7."/>
      <w:lvlJc w:val="left"/>
      <w:pPr>
        <w:ind w:left="5760" w:hanging="360"/>
      </w:pPr>
    </w:lvl>
    <w:lvl w:ilvl="7" w:tplc="57248420" w:tentative="1">
      <w:start w:val="1"/>
      <w:numFmt w:val="lowerLetter"/>
      <w:lvlText w:val="%8."/>
      <w:lvlJc w:val="left"/>
      <w:pPr>
        <w:ind w:left="6480" w:hanging="360"/>
      </w:pPr>
    </w:lvl>
    <w:lvl w:ilvl="8" w:tplc="6868E2B8" w:tentative="1">
      <w:start w:val="1"/>
      <w:numFmt w:val="lowerRoman"/>
      <w:lvlText w:val="%9."/>
      <w:lvlJc w:val="right"/>
      <w:pPr>
        <w:ind w:left="7200" w:hanging="180"/>
      </w:pPr>
    </w:lvl>
  </w:abstractNum>
  <w:abstractNum w:abstractNumId="2" w15:restartNumberingAfterBreak="0">
    <w:nsid w:val="17A96E72"/>
    <w:multiLevelType w:val="hybridMultilevel"/>
    <w:tmpl w:val="CED68C26"/>
    <w:lvl w:ilvl="0" w:tplc="1EE0E460">
      <w:start w:val="1"/>
      <w:numFmt w:val="bullet"/>
      <w:lvlText w:val=""/>
      <w:lvlJc w:val="left"/>
      <w:pPr>
        <w:ind w:left="1080" w:hanging="360"/>
      </w:pPr>
      <w:rPr>
        <w:rFonts w:ascii="Symbol" w:hAnsi="Symbol" w:hint="default"/>
      </w:rPr>
    </w:lvl>
    <w:lvl w:ilvl="1" w:tplc="CFC8A0BE" w:tentative="1">
      <w:start w:val="1"/>
      <w:numFmt w:val="bullet"/>
      <w:lvlText w:val="o"/>
      <w:lvlJc w:val="left"/>
      <w:pPr>
        <w:ind w:left="1800" w:hanging="360"/>
      </w:pPr>
      <w:rPr>
        <w:rFonts w:ascii="Courier New" w:hAnsi="Courier New" w:cs="Courier New" w:hint="default"/>
      </w:rPr>
    </w:lvl>
    <w:lvl w:ilvl="2" w:tplc="2804AEEC" w:tentative="1">
      <w:start w:val="1"/>
      <w:numFmt w:val="bullet"/>
      <w:lvlText w:val=""/>
      <w:lvlJc w:val="left"/>
      <w:pPr>
        <w:ind w:left="2520" w:hanging="360"/>
      </w:pPr>
      <w:rPr>
        <w:rFonts w:ascii="Wingdings" w:hAnsi="Wingdings" w:hint="default"/>
      </w:rPr>
    </w:lvl>
    <w:lvl w:ilvl="3" w:tplc="35100E68" w:tentative="1">
      <w:start w:val="1"/>
      <w:numFmt w:val="bullet"/>
      <w:lvlText w:val=""/>
      <w:lvlJc w:val="left"/>
      <w:pPr>
        <w:ind w:left="3240" w:hanging="360"/>
      </w:pPr>
      <w:rPr>
        <w:rFonts w:ascii="Symbol" w:hAnsi="Symbol" w:hint="default"/>
      </w:rPr>
    </w:lvl>
    <w:lvl w:ilvl="4" w:tplc="E8B04030" w:tentative="1">
      <w:start w:val="1"/>
      <w:numFmt w:val="bullet"/>
      <w:lvlText w:val="o"/>
      <w:lvlJc w:val="left"/>
      <w:pPr>
        <w:ind w:left="3960" w:hanging="360"/>
      </w:pPr>
      <w:rPr>
        <w:rFonts w:ascii="Courier New" w:hAnsi="Courier New" w:cs="Courier New" w:hint="default"/>
      </w:rPr>
    </w:lvl>
    <w:lvl w:ilvl="5" w:tplc="DC5091FC" w:tentative="1">
      <w:start w:val="1"/>
      <w:numFmt w:val="bullet"/>
      <w:lvlText w:val=""/>
      <w:lvlJc w:val="left"/>
      <w:pPr>
        <w:ind w:left="4680" w:hanging="360"/>
      </w:pPr>
      <w:rPr>
        <w:rFonts w:ascii="Wingdings" w:hAnsi="Wingdings" w:hint="default"/>
      </w:rPr>
    </w:lvl>
    <w:lvl w:ilvl="6" w:tplc="014AD000" w:tentative="1">
      <w:start w:val="1"/>
      <w:numFmt w:val="bullet"/>
      <w:lvlText w:val=""/>
      <w:lvlJc w:val="left"/>
      <w:pPr>
        <w:ind w:left="5400" w:hanging="360"/>
      </w:pPr>
      <w:rPr>
        <w:rFonts w:ascii="Symbol" w:hAnsi="Symbol" w:hint="default"/>
      </w:rPr>
    </w:lvl>
    <w:lvl w:ilvl="7" w:tplc="4D1ED4EC" w:tentative="1">
      <w:start w:val="1"/>
      <w:numFmt w:val="bullet"/>
      <w:lvlText w:val="o"/>
      <w:lvlJc w:val="left"/>
      <w:pPr>
        <w:ind w:left="6120" w:hanging="360"/>
      </w:pPr>
      <w:rPr>
        <w:rFonts w:ascii="Courier New" w:hAnsi="Courier New" w:cs="Courier New" w:hint="default"/>
      </w:rPr>
    </w:lvl>
    <w:lvl w:ilvl="8" w:tplc="DB6A159E" w:tentative="1">
      <w:start w:val="1"/>
      <w:numFmt w:val="bullet"/>
      <w:lvlText w:val=""/>
      <w:lvlJc w:val="left"/>
      <w:pPr>
        <w:ind w:left="6840" w:hanging="360"/>
      </w:pPr>
      <w:rPr>
        <w:rFonts w:ascii="Wingdings" w:hAnsi="Wingdings" w:hint="default"/>
      </w:rPr>
    </w:lvl>
  </w:abstractNum>
  <w:abstractNum w:abstractNumId="3" w15:restartNumberingAfterBreak="0">
    <w:nsid w:val="1E5977D6"/>
    <w:multiLevelType w:val="hybridMultilevel"/>
    <w:tmpl w:val="1B9442EC"/>
    <w:lvl w:ilvl="0" w:tplc="CBAE6F86">
      <w:start w:val="1"/>
      <w:numFmt w:val="bullet"/>
      <w:lvlText w:val=""/>
      <w:lvlJc w:val="left"/>
      <w:pPr>
        <w:ind w:left="1080" w:hanging="360"/>
      </w:pPr>
      <w:rPr>
        <w:rFonts w:ascii="Symbol" w:hAnsi="Symbol" w:hint="default"/>
      </w:rPr>
    </w:lvl>
    <w:lvl w:ilvl="1" w:tplc="DCAAE4AA" w:tentative="1">
      <w:start w:val="1"/>
      <w:numFmt w:val="bullet"/>
      <w:lvlText w:val="o"/>
      <w:lvlJc w:val="left"/>
      <w:pPr>
        <w:ind w:left="1800" w:hanging="360"/>
      </w:pPr>
      <w:rPr>
        <w:rFonts w:ascii="Courier New" w:hAnsi="Courier New" w:cs="Courier New" w:hint="default"/>
      </w:rPr>
    </w:lvl>
    <w:lvl w:ilvl="2" w:tplc="F23A2DA2" w:tentative="1">
      <w:start w:val="1"/>
      <w:numFmt w:val="bullet"/>
      <w:lvlText w:val=""/>
      <w:lvlJc w:val="left"/>
      <w:pPr>
        <w:ind w:left="2520" w:hanging="360"/>
      </w:pPr>
      <w:rPr>
        <w:rFonts w:ascii="Wingdings" w:hAnsi="Wingdings" w:hint="default"/>
      </w:rPr>
    </w:lvl>
    <w:lvl w:ilvl="3" w:tplc="1ACA334C" w:tentative="1">
      <w:start w:val="1"/>
      <w:numFmt w:val="bullet"/>
      <w:lvlText w:val=""/>
      <w:lvlJc w:val="left"/>
      <w:pPr>
        <w:ind w:left="3240" w:hanging="360"/>
      </w:pPr>
      <w:rPr>
        <w:rFonts w:ascii="Symbol" w:hAnsi="Symbol" w:hint="default"/>
      </w:rPr>
    </w:lvl>
    <w:lvl w:ilvl="4" w:tplc="5DE6B92E" w:tentative="1">
      <w:start w:val="1"/>
      <w:numFmt w:val="bullet"/>
      <w:lvlText w:val="o"/>
      <w:lvlJc w:val="left"/>
      <w:pPr>
        <w:ind w:left="3960" w:hanging="360"/>
      </w:pPr>
      <w:rPr>
        <w:rFonts w:ascii="Courier New" w:hAnsi="Courier New" w:cs="Courier New" w:hint="default"/>
      </w:rPr>
    </w:lvl>
    <w:lvl w:ilvl="5" w:tplc="B8FC3336" w:tentative="1">
      <w:start w:val="1"/>
      <w:numFmt w:val="bullet"/>
      <w:lvlText w:val=""/>
      <w:lvlJc w:val="left"/>
      <w:pPr>
        <w:ind w:left="4680" w:hanging="360"/>
      </w:pPr>
      <w:rPr>
        <w:rFonts w:ascii="Wingdings" w:hAnsi="Wingdings" w:hint="default"/>
      </w:rPr>
    </w:lvl>
    <w:lvl w:ilvl="6" w:tplc="26BE89A4" w:tentative="1">
      <w:start w:val="1"/>
      <w:numFmt w:val="bullet"/>
      <w:lvlText w:val=""/>
      <w:lvlJc w:val="left"/>
      <w:pPr>
        <w:ind w:left="5400" w:hanging="360"/>
      </w:pPr>
      <w:rPr>
        <w:rFonts w:ascii="Symbol" w:hAnsi="Symbol" w:hint="default"/>
      </w:rPr>
    </w:lvl>
    <w:lvl w:ilvl="7" w:tplc="D0609966" w:tentative="1">
      <w:start w:val="1"/>
      <w:numFmt w:val="bullet"/>
      <w:lvlText w:val="o"/>
      <w:lvlJc w:val="left"/>
      <w:pPr>
        <w:ind w:left="6120" w:hanging="360"/>
      </w:pPr>
      <w:rPr>
        <w:rFonts w:ascii="Courier New" w:hAnsi="Courier New" w:cs="Courier New" w:hint="default"/>
      </w:rPr>
    </w:lvl>
    <w:lvl w:ilvl="8" w:tplc="49081282" w:tentative="1">
      <w:start w:val="1"/>
      <w:numFmt w:val="bullet"/>
      <w:lvlText w:val=""/>
      <w:lvlJc w:val="left"/>
      <w:pPr>
        <w:ind w:left="6840" w:hanging="360"/>
      </w:pPr>
      <w:rPr>
        <w:rFonts w:ascii="Wingdings" w:hAnsi="Wingdings" w:hint="default"/>
      </w:rPr>
    </w:lvl>
  </w:abstractNum>
  <w:abstractNum w:abstractNumId="4" w15:restartNumberingAfterBreak="0">
    <w:nsid w:val="29573B39"/>
    <w:multiLevelType w:val="hybridMultilevel"/>
    <w:tmpl w:val="6116089A"/>
    <w:lvl w:ilvl="0" w:tplc="F11A2544">
      <w:start w:val="1"/>
      <w:numFmt w:val="bullet"/>
      <w:lvlText w:val=""/>
      <w:lvlJc w:val="left"/>
      <w:pPr>
        <w:ind w:left="1440" w:hanging="360"/>
      </w:pPr>
      <w:rPr>
        <w:rFonts w:ascii="Symbol" w:hAnsi="Symbol" w:hint="default"/>
      </w:rPr>
    </w:lvl>
    <w:lvl w:ilvl="1" w:tplc="FE70A136" w:tentative="1">
      <w:start w:val="1"/>
      <w:numFmt w:val="bullet"/>
      <w:lvlText w:val="o"/>
      <w:lvlJc w:val="left"/>
      <w:pPr>
        <w:ind w:left="2160" w:hanging="360"/>
      </w:pPr>
      <w:rPr>
        <w:rFonts w:ascii="Courier New" w:hAnsi="Courier New" w:cs="Courier New" w:hint="default"/>
      </w:rPr>
    </w:lvl>
    <w:lvl w:ilvl="2" w:tplc="299C94FC" w:tentative="1">
      <w:start w:val="1"/>
      <w:numFmt w:val="bullet"/>
      <w:lvlText w:val=""/>
      <w:lvlJc w:val="left"/>
      <w:pPr>
        <w:ind w:left="2880" w:hanging="360"/>
      </w:pPr>
      <w:rPr>
        <w:rFonts w:ascii="Wingdings" w:hAnsi="Wingdings" w:hint="default"/>
      </w:rPr>
    </w:lvl>
    <w:lvl w:ilvl="3" w:tplc="EC2C1C2E" w:tentative="1">
      <w:start w:val="1"/>
      <w:numFmt w:val="bullet"/>
      <w:lvlText w:val=""/>
      <w:lvlJc w:val="left"/>
      <w:pPr>
        <w:ind w:left="3600" w:hanging="360"/>
      </w:pPr>
      <w:rPr>
        <w:rFonts w:ascii="Symbol" w:hAnsi="Symbol" w:hint="default"/>
      </w:rPr>
    </w:lvl>
    <w:lvl w:ilvl="4" w:tplc="5BDA3580" w:tentative="1">
      <w:start w:val="1"/>
      <w:numFmt w:val="bullet"/>
      <w:lvlText w:val="o"/>
      <w:lvlJc w:val="left"/>
      <w:pPr>
        <w:ind w:left="4320" w:hanging="360"/>
      </w:pPr>
      <w:rPr>
        <w:rFonts w:ascii="Courier New" w:hAnsi="Courier New" w:cs="Courier New" w:hint="default"/>
      </w:rPr>
    </w:lvl>
    <w:lvl w:ilvl="5" w:tplc="EE864590" w:tentative="1">
      <w:start w:val="1"/>
      <w:numFmt w:val="bullet"/>
      <w:lvlText w:val=""/>
      <w:lvlJc w:val="left"/>
      <w:pPr>
        <w:ind w:left="5040" w:hanging="360"/>
      </w:pPr>
      <w:rPr>
        <w:rFonts w:ascii="Wingdings" w:hAnsi="Wingdings" w:hint="default"/>
      </w:rPr>
    </w:lvl>
    <w:lvl w:ilvl="6" w:tplc="233039EA" w:tentative="1">
      <w:start w:val="1"/>
      <w:numFmt w:val="bullet"/>
      <w:lvlText w:val=""/>
      <w:lvlJc w:val="left"/>
      <w:pPr>
        <w:ind w:left="5760" w:hanging="360"/>
      </w:pPr>
      <w:rPr>
        <w:rFonts w:ascii="Symbol" w:hAnsi="Symbol" w:hint="default"/>
      </w:rPr>
    </w:lvl>
    <w:lvl w:ilvl="7" w:tplc="37CCEA24" w:tentative="1">
      <w:start w:val="1"/>
      <w:numFmt w:val="bullet"/>
      <w:lvlText w:val="o"/>
      <w:lvlJc w:val="left"/>
      <w:pPr>
        <w:ind w:left="6480" w:hanging="360"/>
      </w:pPr>
      <w:rPr>
        <w:rFonts w:ascii="Courier New" w:hAnsi="Courier New" w:cs="Courier New" w:hint="default"/>
      </w:rPr>
    </w:lvl>
    <w:lvl w:ilvl="8" w:tplc="0744159C" w:tentative="1">
      <w:start w:val="1"/>
      <w:numFmt w:val="bullet"/>
      <w:lvlText w:val=""/>
      <w:lvlJc w:val="left"/>
      <w:pPr>
        <w:ind w:left="7200" w:hanging="360"/>
      </w:pPr>
      <w:rPr>
        <w:rFonts w:ascii="Wingdings" w:hAnsi="Wingdings" w:hint="default"/>
      </w:rPr>
    </w:lvl>
  </w:abstractNum>
  <w:abstractNum w:abstractNumId="5" w15:restartNumberingAfterBreak="0">
    <w:nsid w:val="2D4021D3"/>
    <w:multiLevelType w:val="hybridMultilevel"/>
    <w:tmpl w:val="984AF300"/>
    <w:lvl w:ilvl="0" w:tplc="73F63A44">
      <w:start w:val="1"/>
      <w:numFmt w:val="bullet"/>
      <w:lvlText w:val=""/>
      <w:lvlJc w:val="left"/>
      <w:pPr>
        <w:ind w:left="1080" w:hanging="360"/>
      </w:pPr>
      <w:rPr>
        <w:rFonts w:ascii="Symbol" w:hAnsi="Symbol" w:hint="default"/>
      </w:rPr>
    </w:lvl>
    <w:lvl w:ilvl="1" w:tplc="AE00CCE0" w:tentative="1">
      <w:start w:val="1"/>
      <w:numFmt w:val="bullet"/>
      <w:lvlText w:val="o"/>
      <w:lvlJc w:val="left"/>
      <w:pPr>
        <w:ind w:left="1800" w:hanging="360"/>
      </w:pPr>
      <w:rPr>
        <w:rFonts w:ascii="Courier New" w:hAnsi="Courier New" w:cs="Courier New" w:hint="default"/>
      </w:rPr>
    </w:lvl>
    <w:lvl w:ilvl="2" w:tplc="6A6621AA" w:tentative="1">
      <w:start w:val="1"/>
      <w:numFmt w:val="bullet"/>
      <w:lvlText w:val=""/>
      <w:lvlJc w:val="left"/>
      <w:pPr>
        <w:ind w:left="2520" w:hanging="360"/>
      </w:pPr>
      <w:rPr>
        <w:rFonts w:ascii="Wingdings" w:hAnsi="Wingdings" w:hint="default"/>
      </w:rPr>
    </w:lvl>
    <w:lvl w:ilvl="3" w:tplc="C534144E" w:tentative="1">
      <w:start w:val="1"/>
      <w:numFmt w:val="bullet"/>
      <w:lvlText w:val=""/>
      <w:lvlJc w:val="left"/>
      <w:pPr>
        <w:ind w:left="3240" w:hanging="360"/>
      </w:pPr>
      <w:rPr>
        <w:rFonts w:ascii="Symbol" w:hAnsi="Symbol" w:hint="default"/>
      </w:rPr>
    </w:lvl>
    <w:lvl w:ilvl="4" w:tplc="58D8E9EE" w:tentative="1">
      <w:start w:val="1"/>
      <w:numFmt w:val="bullet"/>
      <w:lvlText w:val="o"/>
      <w:lvlJc w:val="left"/>
      <w:pPr>
        <w:ind w:left="3960" w:hanging="360"/>
      </w:pPr>
      <w:rPr>
        <w:rFonts w:ascii="Courier New" w:hAnsi="Courier New" w:cs="Courier New" w:hint="default"/>
      </w:rPr>
    </w:lvl>
    <w:lvl w:ilvl="5" w:tplc="D064250C" w:tentative="1">
      <w:start w:val="1"/>
      <w:numFmt w:val="bullet"/>
      <w:lvlText w:val=""/>
      <w:lvlJc w:val="left"/>
      <w:pPr>
        <w:ind w:left="4680" w:hanging="360"/>
      </w:pPr>
      <w:rPr>
        <w:rFonts w:ascii="Wingdings" w:hAnsi="Wingdings" w:hint="default"/>
      </w:rPr>
    </w:lvl>
    <w:lvl w:ilvl="6" w:tplc="94F87A20" w:tentative="1">
      <w:start w:val="1"/>
      <w:numFmt w:val="bullet"/>
      <w:lvlText w:val=""/>
      <w:lvlJc w:val="left"/>
      <w:pPr>
        <w:ind w:left="5400" w:hanging="360"/>
      </w:pPr>
      <w:rPr>
        <w:rFonts w:ascii="Symbol" w:hAnsi="Symbol" w:hint="default"/>
      </w:rPr>
    </w:lvl>
    <w:lvl w:ilvl="7" w:tplc="A1467542" w:tentative="1">
      <w:start w:val="1"/>
      <w:numFmt w:val="bullet"/>
      <w:lvlText w:val="o"/>
      <w:lvlJc w:val="left"/>
      <w:pPr>
        <w:ind w:left="6120" w:hanging="360"/>
      </w:pPr>
      <w:rPr>
        <w:rFonts w:ascii="Courier New" w:hAnsi="Courier New" w:cs="Courier New" w:hint="default"/>
      </w:rPr>
    </w:lvl>
    <w:lvl w:ilvl="8" w:tplc="D1B6F388" w:tentative="1">
      <w:start w:val="1"/>
      <w:numFmt w:val="bullet"/>
      <w:lvlText w:val=""/>
      <w:lvlJc w:val="left"/>
      <w:pPr>
        <w:ind w:left="6840" w:hanging="360"/>
      </w:pPr>
      <w:rPr>
        <w:rFonts w:ascii="Wingdings" w:hAnsi="Wingdings" w:hint="default"/>
      </w:rPr>
    </w:lvl>
  </w:abstractNum>
  <w:abstractNum w:abstractNumId="6" w15:restartNumberingAfterBreak="0">
    <w:nsid w:val="2D682B4B"/>
    <w:multiLevelType w:val="hybridMultilevel"/>
    <w:tmpl w:val="27D0AF2A"/>
    <w:lvl w:ilvl="0" w:tplc="9C5E5F5C">
      <w:start w:val="1"/>
      <w:numFmt w:val="bullet"/>
      <w:lvlText w:val=""/>
      <w:lvlJc w:val="left"/>
      <w:pPr>
        <w:ind w:left="990" w:hanging="360"/>
      </w:pPr>
      <w:rPr>
        <w:rFonts w:ascii="Symbol" w:hAnsi="Symbol" w:hint="default"/>
      </w:rPr>
    </w:lvl>
    <w:lvl w:ilvl="1" w:tplc="C742E226" w:tentative="1">
      <w:start w:val="1"/>
      <w:numFmt w:val="bullet"/>
      <w:lvlText w:val="o"/>
      <w:lvlJc w:val="left"/>
      <w:pPr>
        <w:ind w:left="1710" w:hanging="360"/>
      </w:pPr>
      <w:rPr>
        <w:rFonts w:ascii="Courier New" w:hAnsi="Courier New" w:cs="Courier New" w:hint="default"/>
      </w:rPr>
    </w:lvl>
    <w:lvl w:ilvl="2" w:tplc="6AD02092" w:tentative="1">
      <w:start w:val="1"/>
      <w:numFmt w:val="bullet"/>
      <w:lvlText w:val=""/>
      <w:lvlJc w:val="left"/>
      <w:pPr>
        <w:ind w:left="2430" w:hanging="360"/>
      </w:pPr>
      <w:rPr>
        <w:rFonts w:ascii="Wingdings" w:hAnsi="Wingdings" w:hint="default"/>
      </w:rPr>
    </w:lvl>
    <w:lvl w:ilvl="3" w:tplc="C6BA48EC" w:tentative="1">
      <w:start w:val="1"/>
      <w:numFmt w:val="bullet"/>
      <w:lvlText w:val=""/>
      <w:lvlJc w:val="left"/>
      <w:pPr>
        <w:ind w:left="3150" w:hanging="360"/>
      </w:pPr>
      <w:rPr>
        <w:rFonts w:ascii="Symbol" w:hAnsi="Symbol" w:hint="default"/>
      </w:rPr>
    </w:lvl>
    <w:lvl w:ilvl="4" w:tplc="FAB0C61E" w:tentative="1">
      <w:start w:val="1"/>
      <w:numFmt w:val="bullet"/>
      <w:lvlText w:val="o"/>
      <w:lvlJc w:val="left"/>
      <w:pPr>
        <w:ind w:left="3870" w:hanging="360"/>
      </w:pPr>
      <w:rPr>
        <w:rFonts w:ascii="Courier New" w:hAnsi="Courier New" w:cs="Courier New" w:hint="default"/>
      </w:rPr>
    </w:lvl>
    <w:lvl w:ilvl="5" w:tplc="286CFAD8" w:tentative="1">
      <w:start w:val="1"/>
      <w:numFmt w:val="bullet"/>
      <w:lvlText w:val=""/>
      <w:lvlJc w:val="left"/>
      <w:pPr>
        <w:ind w:left="4590" w:hanging="360"/>
      </w:pPr>
      <w:rPr>
        <w:rFonts w:ascii="Wingdings" w:hAnsi="Wingdings" w:hint="default"/>
      </w:rPr>
    </w:lvl>
    <w:lvl w:ilvl="6" w:tplc="C74C49AA" w:tentative="1">
      <w:start w:val="1"/>
      <w:numFmt w:val="bullet"/>
      <w:lvlText w:val=""/>
      <w:lvlJc w:val="left"/>
      <w:pPr>
        <w:ind w:left="5310" w:hanging="360"/>
      </w:pPr>
      <w:rPr>
        <w:rFonts w:ascii="Symbol" w:hAnsi="Symbol" w:hint="default"/>
      </w:rPr>
    </w:lvl>
    <w:lvl w:ilvl="7" w:tplc="84F41A9A" w:tentative="1">
      <w:start w:val="1"/>
      <w:numFmt w:val="bullet"/>
      <w:lvlText w:val="o"/>
      <w:lvlJc w:val="left"/>
      <w:pPr>
        <w:ind w:left="6030" w:hanging="360"/>
      </w:pPr>
      <w:rPr>
        <w:rFonts w:ascii="Courier New" w:hAnsi="Courier New" w:cs="Courier New" w:hint="default"/>
      </w:rPr>
    </w:lvl>
    <w:lvl w:ilvl="8" w:tplc="0332F570" w:tentative="1">
      <w:start w:val="1"/>
      <w:numFmt w:val="bullet"/>
      <w:lvlText w:val=""/>
      <w:lvlJc w:val="left"/>
      <w:pPr>
        <w:ind w:left="6750" w:hanging="360"/>
      </w:pPr>
      <w:rPr>
        <w:rFonts w:ascii="Wingdings" w:hAnsi="Wingdings" w:hint="default"/>
      </w:rPr>
    </w:lvl>
  </w:abstractNum>
  <w:abstractNum w:abstractNumId="7" w15:restartNumberingAfterBreak="0">
    <w:nsid w:val="3B0324D4"/>
    <w:multiLevelType w:val="hybridMultilevel"/>
    <w:tmpl w:val="0CE2B5E6"/>
    <w:lvl w:ilvl="0" w:tplc="DC987072">
      <w:start w:val="1"/>
      <w:numFmt w:val="bullet"/>
      <w:lvlText w:val=""/>
      <w:lvlJc w:val="left"/>
      <w:pPr>
        <w:ind w:left="720" w:hanging="360"/>
      </w:pPr>
      <w:rPr>
        <w:rFonts w:ascii="Symbol" w:hAnsi="Symbol" w:hint="default"/>
        <w:color w:val="7FC444"/>
      </w:rPr>
    </w:lvl>
    <w:lvl w:ilvl="1" w:tplc="5D9480A6" w:tentative="1">
      <w:start w:val="1"/>
      <w:numFmt w:val="bullet"/>
      <w:lvlText w:val="o"/>
      <w:lvlJc w:val="left"/>
      <w:pPr>
        <w:ind w:left="1800" w:hanging="360"/>
      </w:pPr>
      <w:rPr>
        <w:rFonts w:ascii="Courier New" w:hAnsi="Courier New" w:cs="Courier New" w:hint="default"/>
      </w:rPr>
    </w:lvl>
    <w:lvl w:ilvl="2" w:tplc="E5CA3C94" w:tentative="1">
      <w:start w:val="1"/>
      <w:numFmt w:val="bullet"/>
      <w:lvlText w:val=""/>
      <w:lvlJc w:val="left"/>
      <w:pPr>
        <w:ind w:left="2520" w:hanging="360"/>
      </w:pPr>
      <w:rPr>
        <w:rFonts w:ascii="Wingdings" w:hAnsi="Wingdings" w:hint="default"/>
      </w:rPr>
    </w:lvl>
    <w:lvl w:ilvl="3" w:tplc="4592876A" w:tentative="1">
      <w:start w:val="1"/>
      <w:numFmt w:val="bullet"/>
      <w:lvlText w:val=""/>
      <w:lvlJc w:val="left"/>
      <w:pPr>
        <w:ind w:left="3240" w:hanging="360"/>
      </w:pPr>
      <w:rPr>
        <w:rFonts w:ascii="Symbol" w:hAnsi="Symbol" w:hint="default"/>
      </w:rPr>
    </w:lvl>
    <w:lvl w:ilvl="4" w:tplc="7C2E855C" w:tentative="1">
      <w:start w:val="1"/>
      <w:numFmt w:val="bullet"/>
      <w:lvlText w:val="o"/>
      <w:lvlJc w:val="left"/>
      <w:pPr>
        <w:ind w:left="3960" w:hanging="360"/>
      </w:pPr>
      <w:rPr>
        <w:rFonts w:ascii="Courier New" w:hAnsi="Courier New" w:cs="Courier New" w:hint="default"/>
      </w:rPr>
    </w:lvl>
    <w:lvl w:ilvl="5" w:tplc="A6FA71A6" w:tentative="1">
      <w:start w:val="1"/>
      <w:numFmt w:val="bullet"/>
      <w:lvlText w:val=""/>
      <w:lvlJc w:val="left"/>
      <w:pPr>
        <w:ind w:left="4680" w:hanging="360"/>
      </w:pPr>
      <w:rPr>
        <w:rFonts w:ascii="Wingdings" w:hAnsi="Wingdings" w:hint="default"/>
      </w:rPr>
    </w:lvl>
    <w:lvl w:ilvl="6" w:tplc="7616CD90" w:tentative="1">
      <w:start w:val="1"/>
      <w:numFmt w:val="bullet"/>
      <w:lvlText w:val=""/>
      <w:lvlJc w:val="left"/>
      <w:pPr>
        <w:ind w:left="5400" w:hanging="360"/>
      </w:pPr>
      <w:rPr>
        <w:rFonts w:ascii="Symbol" w:hAnsi="Symbol" w:hint="default"/>
      </w:rPr>
    </w:lvl>
    <w:lvl w:ilvl="7" w:tplc="C532B258" w:tentative="1">
      <w:start w:val="1"/>
      <w:numFmt w:val="bullet"/>
      <w:lvlText w:val="o"/>
      <w:lvlJc w:val="left"/>
      <w:pPr>
        <w:ind w:left="6120" w:hanging="360"/>
      </w:pPr>
      <w:rPr>
        <w:rFonts w:ascii="Courier New" w:hAnsi="Courier New" w:cs="Courier New" w:hint="default"/>
      </w:rPr>
    </w:lvl>
    <w:lvl w:ilvl="8" w:tplc="7D604980" w:tentative="1">
      <w:start w:val="1"/>
      <w:numFmt w:val="bullet"/>
      <w:lvlText w:val=""/>
      <w:lvlJc w:val="left"/>
      <w:pPr>
        <w:ind w:left="6840" w:hanging="360"/>
      </w:pPr>
      <w:rPr>
        <w:rFonts w:ascii="Wingdings" w:hAnsi="Wingdings" w:hint="default"/>
      </w:rPr>
    </w:lvl>
  </w:abstractNum>
  <w:abstractNum w:abstractNumId="8" w15:restartNumberingAfterBreak="0">
    <w:nsid w:val="4D207797"/>
    <w:multiLevelType w:val="hybridMultilevel"/>
    <w:tmpl w:val="382667F8"/>
    <w:lvl w:ilvl="0" w:tplc="CD3ABBA4">
      <w:start w:val="1"/>
      <w:numFmt w:val="bullet"/>
      <w:lvlText w:val=""/>
      <w:lvlJc w:val="left"/>
      <w:pPr>
        <w:ind w:left="1080" w:hanging="360"/>
      </w:pPr>
      <w:rPr>
        <w:rFonts w:ascii="Symbol" w:hAnsi="Symbol" w:hint="default"/>
      </w:rPr>
    </w:lvl>
    <w:lvl w:ilvl="1" w:tplc="F1807858" w:tentative="1">
      <w:start w:val="1"/>
      <w:numFmt w:val="bullet"/>
      <w:lvlText w:val="o"/>
      <w:lvlJc w:val="left"/>
      <w:pPr>
        <w:ind w:left="1800" w:hanging="360"/>
      </w:pPr>
      <w:rPr>
        <w:rFonts w:ascii="Courier New" w:hAnsi="Courier New" w:cs="Courier New" w:hint="default"/>
      </w:rPr>
    </w:lvl>
    <w:lvl w:ilvl="2" w:tplc="447A787C" w:tentative="1">
      <w:start w:val="1"/>
      <w:numFmt w:val="bullet"/>
      <w:lvlText w:val=""/>
      <w:lvlJc w:val="left"/>
      <w:pPr>
        <w:ind w:left="2520" w:hanging="360"/>
      </w:pPr>
      <w:rPr>
        <w:rFonts w:ascii="Wingdings" w:hAnsi="Wingdings" w:hint="default"/>
      </w:rPr>
    </w:lvl>
    <w:lvl w:ilvl="3" w:tplc="CC02F746" w:tentative="1">
      <w:start w:val="1"/>
      <w:numFmt w:val="bullet"/>
      <w:lvlText w:val=""/>
      <w:lvlJc w:val="left"/>
      <w:pPr>
        <w:ind w:left="3240" w:hanging="360"/>
      </w:pPr>
      <w:rPr>
        <w:rFonts w:ascii="Symbol" w:hAnsi="Symbol" w:hint="default"/>
      </w:rPr>
    </w:lvl>
    <w:lvl w:ilvl="4" w:tplc="C0284D84" w:tentative="1">
      <w:start w:val="1"/>
      <w:numFmt w:val="bullet"/>
      <w:lvlText w:val="o"/>
      <w:lvlJc w:val="left"/>
      <w:pPr>
        <w:ind w:left="3960" w:hanging="360"/>
      </w:pPr>
      <w:rPr>
        <w:rFonts w:ascii="Courier New" w:hAnsi="Courier New" w:cs="Courier New" w:hint="default"/>
      </w:rPr>
    </w:lvl>
    <w:lvl w:ilvl="5" w:tplc="3D38E108" w:tentative="1">
      <w:start w:val="1"/>
      <w:numFmt w:val="bullet"/>
      <w:lvlText w:val=""/>
      <w:lvlJc w:val="left"/>
      <w:pPr>
        <w:ind w:left="4680" w:hanging="360"/>
      </w:pPr>
      <w:rPr>
        <w:rFonts w:ascii="Wingdings" w:hAnsi="Wingdings" w:hint="default"/>
      </w:rPr>
    </w:lvl>
    <w:lvl w:ilvl="6" w:tplc="920C3994" w:tentative="1">
      <w:start w:val="1"/>
      <w:numFmt w:val="bullet"/>
      <w:lvlText w:val=""/>
      <w:lvlJc w:val="left"/>
      <w:pPr>
        <w:ind w:left="5400" w:hanging="360"/>
      </w:pPr>
      <w:rPr>
        <w:rFonts w:ascii="Symbol" w:hAnsi="Symbol" w:hint="default"/>
      </w:rPr>
    </w:lvl>
    <w:lvl w:ilvl="7" w:tplc="73AAE5E2" w:tentative="1">
      <w:start w:val="1"/>
      <w:numFmt w:val="bullet"/>
      <w:lvlText w:val="o"/>
      <w:lvlJc w:val="left"/>
      <w:pPr>
        <w:ind w:left="6120" w:hanging="360"/>
      </w:pPr>
      <w:rPr>
        <w:rFonts w:ascii="Courier New" w:hAnsi="Courier New" w:cs="Courier New" w:hint="default"/>
      </w:rPr>
    </w:lvl>
    <w:lvl w:ilvl="8" w:tplc="C95A3FA0" w:tentative="1">
      <w:start w:val="1"/>
      <w:numFmt w:val="bullet"/>
      <w:lvlText w:val=""/>
      <w:lvlJc w:val="left"/>
      <w:pPr>
        <w:ind w:left="6840" w:hanging="360"/>
      </w:pPr>
      <w:rPr>
        <w:rFonts w:ascii="Wingdings" w:hAnsi="Wingdings" w:hint="default"/>
      </w:rPr>
    </w:lvl>
  </w:abstractNum>
  <w:abstractNum w:abstractNumId="9" w15:restartNumberingAfterBreak="0">
    <w:nsid w:val="53EC42E2"/>
    <w:multiLevelType w:val="hybridMultilevel"/>
    <w:tmpl w:val="37ECB20A"/>
    <w:lvl w:ilvl="0" w:tplc="6526EE50">
      <w:start w:val="1"/>
      <w:numFmt w:val="bullet"/>
      <w:lvlText w:val=""/>
      <w:lvlJc w:val="left"/>
      <w:pPr>
        <w:ind w:left="720" w:hanging="360"/>
      </w:pPr>
      <w:rPr>
        <w:rFonts w:ascii="Symbol" w:hAnsi="Symbol" w:hint="default"/>
        <w:color w:val="auto"/>
      </w:rPr>
    </w:lvl>
    <w:lvl w:ilvl="1" w:tplc="3A68F230" w:tentative="1">
      <w:start w:val="1"/>
      <w:numFmt w:val="bullet"/>
      <w:lvlText w:val="o"/>
      <w:lvlJc w:val="left"/>
      <w:pPr>
        <w:ind w:left="1440" w:hanging="360"/>
      </w:pPr>
      <w:rPr>
        <w:rFonts w:ascii="Courier New" w:hAnsi="Courier New" w:cs="Courier New" w:hint="default"/>
      </w:rPr>
    </w:lvl>
    <w:lvl w:ilvl="2" w:tplc="B5786600" w:tentative="1">
      <w:start w:val="1"/>
      <w:numFmt w:val="bullet"/>
      <w:lvlText w:val=""/>
      <w:lvlJc w:val="left"/>
      <w:pPr>
        <w:ind w:left="2160" w:hanging="360"/>
      </w:pPr>
      <w:rPr>
        <w:rFonts w:ascii="Wingdings" w:hAnsi="Wingdings" w:hint="default"/>
      </w:rPr>
    </w:lvl>
    <w:lvl w:ilvl="3" w:tplc="65BC7E22" w:tentative="1">
      <w:start w:val="1"/>
      <w:numFmt w:val="bullet"/>
      <w:lvlText w:val=""/>
      <w:lvlJc w:val="left"/>
      <w:pPr>
        <w:ind w:left="2880" w:hanging="360"/>
      </w:pPr>
      <w:rPr>
        <w:rFonts w:ascii="Symbol" w:hAnsi="Symbol" w:hint="default"/>
      </w:rPr>
    </w:lvl>
    <w:lvl w:ilvl="4" w:tplc="5B901048" w:tentative="1">
      <w:start w:val="1"/>
      <w:numFmt w:val="bullet"/>
      <w:lvlText w:val="o"/>
      <w:lvlJc w:val="left"/>
      <w:pPr>
        <w:ind w:left="3600" w:hanging="360"/>
      </w:pPr>
      <w:rPr>
        <w:rFonts w:ascii="Courier New" w:hAnsi="Courier New" w:cs="Courier New" w:hint="default"/>
      </w:rPr>
    </w:lvl>
    <w:lvl w:ilvl="5" w:tplc="E2FC88BE" w:tentative="1">
      <w:start w:val="1"/>
      <w:numFmt w:val="bullet"/>
      <w:lvlText w:val=""/>
      <w:lvlJc w:val="left"/>
      <w:pPr>
        <w:ind w:left="4320" w:hanging="360"/>
      </w:pPr>
      <w:rPr>
        <w:rFonts w:ascii="Wingdings" w:hAnsi="Wingdings" w:hint="default"/>
      </w:rPr>
    </w:lvl>
    <w:lvl w:ilvl="6" w:tplc="81FC0F88" w:tentative="1">
      <w:start w:val="1"/>
      <w:numFmt w:val="bullet"/>
      <w:lvlText w:val=""/>
      <w:lvlJc w:val="left"/>
      <w:pPr>
        <w:ind w:left="5040" w:hanging="360"/>
      </w:pPr>
      <w:rPr>
        <w:rFonts w:ascii="Symbol" w:hAnsi="Symbol" w:hint="default"/>
      </w:rPr>
    </w:lvl>
    <w:lvl w:ilvl="7" w:tplc="2AAC7B5E" w:tentative="1">
      <w:start w:val="1"/>
      <w:numFmt w:val="bullet"/>
      <w:lvlText w:val="o"/>
      <w:lvlJc w:val="left"/>
      <w:pPr>
        <w:ind w:left="5760" w:hanging="360"/>
      </w:pPr>
      <w:rPr>
        <w:rFonts w:ascii="Courier New" w:hAnsi="Courier New" w:cs="Courier New" w:hint="default"/>
      </w:rPr>
    </w:lvl>
    <w:lvl w:ilvl="8" w:tplc="60BA2C42" w:tentative="1">
      <w:start w:val="1"/>
      <w:numFmt w:val="bullet"/>
      <w:lvlText w:val=""/>
      <w:lvlJc w:val="left"/>
      <w:pPr>
        <w:ind w:left="6480" w:hanging="360"/>
      </w:pPr>
      <w:rPr>
        <w:rFonts w:ascii="Wingdings" w:hAnsi="Wingdings" w:hint="default"/>
      </w:rPr>
    </w:lvl>
  </w:abstractNum>
  <w:abstractNum w:abstractNumId="10" w15:restartNumberingAfterBreak="0">
    <w:nsid w:val="56967D7C"/>
    <w:multiLevelType w:val="hybridMultilevel"/>
    <w:tmpl w:val="58B693C4"/>
    <w:lvl w:ilvl="0" w:tplc="EB2A63D4">
      <w:start w:val="1"/>
      <w:numFmt w:val="decimal"/>
      <w:lvlText w:val="%1."/>
      <w:lvlJc w:val="left"/>
      <w:pPr>
        <w:ind w:left="643" w:hanging="360"/>
      </w:pPr>
      <w:rPr>
        <w:b w:val="0"/>
      </w:rPr>
    </w:lvl>
    <w:lvl w:ilvl="1" w:tplc="3BE2BEFA" w:tentative="1">
      <w:start w:val="1"/>
      <w:numFmt w:val="lowerLetter"/>
      <w:lvlText w:val="%2."/>
      <w:lvlJc w:val="left"/>
      <w:pPr>
        <w:ind w:left="1440" w:hanging="360"/>
      </w:pPr>
    </w:lvl>
    <w:lvl w:ilvl="2" w:tplc="1FE4B2FE" w:tentative="1">
      <w:start w:val="1"/>
      <w:numFmt w:val="lowerRoman"/>
      <w:lvlText w:val="%3."/>
      <w:lvlJc w:val="right"/>
      <w:pPr>
        <w:ind w:left="2160" w:hanging="180"/>
      </w:pPr>
    </w:lvl>
    <w:lvl w:ilvl="3" w:tplc="30EAF5C8" w:tentative="1">
      <w:start w:val="1"/>
      <w:numFmt w:val="decimal"/>
      <w:lvlText w:val="%4."/>
      <w:lvlJc w:val="left"/>
      <w:pPr>
        <w:ind w:left="2880" w:hanging="360"/>
      </w:pPr>
    </w:lvl>
    <w:lvl w:ilvl="4" w:tplc="901602EC" w:tentative="1">
      <w:start w:val="1"/>
      <w:numFmt w:val="lowerLetter"/>
      <w:lvlText w:val="%5."/>
      <w:lvlJc w:val="left"/>
      <w:pPr>
        <w:ind w:left="3600" w:hanging="360"/>
      </w:pPr>
    </w:lvl>
    <w:lvl w:ilvl="5" w:tplc="60700320" w:tentative="1">
      <w:start w:val="1"/>
      <w:numFmt w:val="lowerRoman"/>
      <w:lvlText w:val="%6."/>
      <w:lvlJc w:val="right"/>
      <w:pPr>
        <w:ind w:left="4320" w:hanging="180"/>
      </w:pPr>
    </w:lvl>
    <w:lvl w:ilvl="6" w:tplc="44E2F32C" w:tentative="1">
      <w:start w:val="1"/>
      <w:numFmt w:val="decimal"/>
      <w:lvlText w:val="%7."/>
      <w:lvlJc w:val="left"/>
      <w:pPr>
        <w:ind w:left="5040" w:hanging="360"/>
      </w:pPr>
    </w:lvl>
    <w:lvl w:ilvl="7" w:tplc="9BF6AC42" w:tentative="1">
      <w:start w:val="1"/>
      <w:numFmt w:val="lowerLetter"/>
      <w:lvlText w:val="%8."/>
      <w:lvlJc w:val="left"/>
      <w:pPr>
        <w:ind w:left="5760" w:hanging="360"/>
      </w:pPr>
    </w:lvl>
    <w:lvl w:ilvl="8" w:tplc="FF2CF540" w:tentative="1">
      <w:start w:val="1"/>
      <w:numFmt w:val="lowerRoman"/>
      <w:lvlText w:val="%9."/>
      <w:lvlJc w:val="right"/>
      <w:pPr>
        <w:ind w:left="6480" w:hanging="180"/>
      </w:pPr>
    </w:lvl>
  </w:abstractNum>
  <w:abstractNum w:abstractNumId="11" w15:restartNumberingAfterBreak="0">
    <w:nsid w:val="597811DD"/>
    <w:multiLevelType w:val="hybridMultilevel"/>
    <w:tmpl w:val="FA5C2D58"/>
    <w:lvl w:ilvl="0" w:tplc="F6C818D6">
      <w:start w:val="1"/>
      <w:numFmt w:val="decimal"/>
      <w:lvlText w:val="%1."/>
      <w:lvlJc w:val="left"/>
      <w:pPr>
        <w:ind w:left="720" w:hanging="360"/>
      </w:pPr>
    </w:lvl>
    <w:lvl w:ilvl="1" w:tplc="3A8C9EC0" w:tentative="1">
      <w:start w:val="1"/>
      <w:numFmt w:val="lowerLetter"/>
      <w:lvlText w:val="%2."/>
      <w:lvlJc w:val="left"/>
      <w:pPr>
        <w:ind w:left="1440" w:hanging="360"/>
      </w:pPr>
    </w:lvl>
    <w:lvl w:ilvl="2" w:tplc="A85C756E" w:tentative="1">
      <w:start w:val="1"/>
      <w:numFmt w:val="lowerRoman"/>
      <w:lvlText w:val="%3."/>
      <w:lvlJc w:val="right"/>
      <w:pPr>
        <w:ind w:left="2160" w:hanging="180"/>
      </w:pPr>
    </w:lvl>
    <w:lvl w:ilvl="3" w:tplc="9576508C" w:tentative="1">
      <w:start w:val="1"/>
      <w:numFmt w:val="decimal"/>
      <w:lvlText w:val="%4."/>
      <w:lvlJc w:val="left"/>
      <w:pPr>
        <w:ind w:left="2880" w:hanging="360"/>
      </w:pPr>
    </w:lvl>
    <w:lvl w:ilvl="4" w:tplc="8F8693A4" w:tentative="1">
      <w:start w:val="1"/>
      <w:numFmt w:val="lowerLetter"/>
      <w:lvlText w:val="%5."/>
      <w:lvlJc w:val="left"/>
      <w:pPr>
        <w:ind w:left="3600" w:hanging="360"/>
      </w:pPr>
    </w:lvl>
    <w:lvl w:ilvl="5" w:tplc="6FC67888" w:tentative="1">
      <w:start w:val="1"/>
      <w:numFmt w:val="lowerRoman"/>
      <w:lvlText w:val="%6."/>
      <w:lvlJc w:val="right"/>
      <w:pPr>
        <w:ind w:left="4320" w:hanging="180"/>
      </w:pPr>
    </w:lvl>
    <w:lvl w:ilvl="6" w:tplc="9F388D6A" w:tentative="1">
      <w:start w:val="1"/>
      <w:numFmt w:val="decimal"/>
      <w:lvlText w:val="%7."/>
      <w:lvlJc w:val="left"/>
      <w:pPr>
        <w:ind w:left="5040" w:hanging="360"/>
      </w:pPr>
    </w:lvl>
    <w:lvl w:ilvl="7" w:tplc="8D301666" w:tentative="1">
      <w:start w:val="1"/>
      <w:numFmt w:val="lowerLetter"/>
      <w:lvlText w:val="%8."/>
      <w:lvlJc w:val="left"/>
      <w:pPr>
        <w:ind w:left="5760" w:hanging="360"/>
      </w:pPr>
    </w:lvl>
    <w:lvl w:ilvl="8" w:tplc="A524D6D2" w:tentative="1">
      <w:start w:val="1"/>
      <w:numFmt w:val="lowerRoman"/>
      <w:lvlText w:val="%9."/>
      <w:lvlJc w:val="right"/>
      <w:pPr>
        <w:ind w:left="6480" w:hanging="180"/>
      </w:pPr>
    </w:lvl>
  </w:abstractNum>
  <w:abstractNum w:abstractNumId="12" w15:restartNumberingAfterBreak="0">
    <w:nsid w:val="5C4D2CDE"/>
    <w:multiLevelType w:val="hybridMultilevel"/>
    <w:tmpl w:val="5B6827D0"/>
    <w:lvl w:ilvl="0" w:tplc="E250C5AA">
      <w:start w:val="1"/>
      <w:numFmt w:val="bullet"/>
      <w:lvlText w:val=""/>
      <w:lvlJc w:val="left"/>
      <w:pPr>
        <w:ind w:left="720" w:hanging="360"/>
      </w:pPr>
      <w:rPr>
        <w:rFonts w:ascii="Symbol" w:hAnsi="Symbol" w:hint="default"/>
        <w:color w:val="7FC444"/>
      </w:rPr>
    </w:lvl>
    <w:lvl w:ilvl="1" w:tplc="A4F029A0" w:tentative="1">
      <w:start w:val="1"/>
      <w:numFmt w:val="bullet"/>
      <w:lvlText w:val="o"/>
      <w:lvlJc w:val="left"/>
      <w:pPr>
        <w:ind w:left="1440" w:hanging="360"/>
      </w:pPr>
      <w:rPr>
        <w:rFonts w:ascii="Courier New" w:hAnsi="Courier New" w:cs="Courier New" w:hint="default"/>
      </w:rPr>
    </w:lvl>
    <w:lvl w:ilvl="2" w:tplc="3CCA8EDC" w:tentative="1">
      <w:start w:val="1"/>
      <w:numFmt w:val="bullet"/>
      <w:lvlText w:val=""/>
      <w:lvlJc w:val="left"/>
      <w:pPr>
        <w:ind w:left="2160" w:hanging="360"/>
      </w:pPr>
      <w:rPr>
        <w:rFonts w:ascii="Wingdings" w:hAnsi="Wingdings" w:hint="default"/>
      </w:rPr>
    </w:lvl>
    <w:lvl w:ilvl="3" w:tplc="EF82FC7C" w:tentative="1">
      <w:start w:val="1"/>
      <w:numFmt w:val="bullet"/>
      <w:lvlText w:val=""/>
      <w:lvlJc w:val="left"/>
      <w:pPr>
        <w:ind w:left="2880" w:hanging="360"/>
      </w:pPr>
      <w:rPr>
        <w:rFonts w:ascii="Symbol" w:hAnsi="Symbol" w:hint="default"/>
      </w:rPr>
    </w:lvl>
    <w:lvl w:ilvl="4" w:tplc="DEEC902E" w:tentative="1">
      <w:start w:val="1"/>
      <w:numFmt w:val="bullet"/>
      <w:lvlText w:val="o"/>
      <w:lvlJc w:val="left"/>
      <w:pPr>
        <w:ind w:left="3600" w:hanging="360"/>
      </w:pPr>
      <w:rPr>
        <w:rFonts w:ascii="Courier New" w:hAnsi="Courier New" w:cs="Courier New" w:hint="default"/>
      </w:rPr>
    </w:lvl>
    <w:lvl w:ilvl="5" w:tplc="BF0E0044" w:tentative="1">
      <w:start w:val="1"/>
      <w:numFmt w:val="bullet"/>
      <w:lvlText w:val=""/>
      <w:lvlJc w:val="left"/>
      <w:pPr>
        <w:ind w:left="4320" w:hanging="360"/>
      </w:pPr>
      <w:rPr>
        <w:rFonts w:ascii="Wingdings" w:hAnsi="Wingdings" w:hint="default"/>
      </w:rPr>
    </w:lvl>
    <w:lvl w:ilvl="6" w:tplc="AF9803A4" w:tentative="1">
      <w:start w:val="1"/>
      <w:numFmt w:val="bullet"/>
      <w:lvlText w:val=""/>
      <w:lvlJc w:val="left"/>
      <w:pPr>
        <w:ind w:left="5040" w:hanging="360"/>
      </w:pPr>
      <w:rPr>
        <w:rFonts w:ascii="Symbol" w:hAnsi="Symbol" w:hint="default"/>
      </w:rPr>
    </w:lvl>
    <w:lvl w:ilvl="7" w:tplc="EDBC080E" w:tentative="1">
      <w:start w:val="1"/>
      <w:numFmt w:val="bullet"/>
      <w:lvlText w:val="o"/>
      <w:lvlJc w:val="left"/>
      <w:pPr>
        <w:ind w:left="5760" w:hanging="360"/>
      </w:pPr>
      <w:rPr>
        <w:rFonts w:ascii="Courier New" w:hAnsi="Courier New" w:cs="Courier New" w:hint="default"/>
      </w:rPr>
    </w:lvl>
    <w:lvl w:ilvl="8" w:tplc="4F02806E" w:tentative="1">
      <w:start w:val="1"/>
      <w:numFmt w:val="bullet"/>
      <w:lvlText w:val=""/>
      <w:lvlJc w:val="left"/>
      <w:pPr>
        <w:ind w:left="6480" w:hanging="360"/>
      </w:pPr>
      <w:rPr>
        <w:rFonts w:ascii="Wingdings" w:hAnsi="Wingdings" w:hint="default"/>
      </w:rPr>
    </w:lvl>
  </w:abstractNum>
  <w:abstractNum w:abstractNumId="13" w15:restartNumberingAfterBreak="0">
    <w:nsid w:val="5C4D485B"/>
    <w:multiLevelType w:val="hybridMultilevel"/>
    <w:tmpl w:val="4FCA9000"/>
    <w:lvl w:ilvl="0" w:tplc="34E2350C">
      <w:start w:val="1"/>
      <w:numFmt w:val="bullet"/>
      <w:lvlText w:val="-"/>
      <w:lvlJc w:val="left"/>
      <w:pPr>
        <w:ind w:left="720" w:hanging="360"/>
      </w:pPr>
      <w:rPr>
        <w:rFonts w:ascii="Arial" w:eastAsiaTheme="minorHAnsi" w:hAnsi="Arial" w:cs="Arial" w:hint="default"/>
      </w:rPr>
    </w:lvl>
    <w:lvl w:ilvl="1" w:tplc="99107E72" w:tentative="1">
      <w:start w:val="1"/>
      <w:numFmt w:val="bullet"/>
      <w:lvlText w:val="o"/>
      <w:lvlJc w:val="left"/>
      <w:pPr>
        <w:ind w:left="1440" w:hanging="360"/>
      </w:pPr>
      <w:rPr>
        <w:rFonts w:ascii="Courier New" w:hAnsi="Courier New" w:cs="Courier New" w:hint="default"/>
      </w:rPr>
    </w:lvl>
    <w:lvl w:ilvl="2" w:tplc="427620E2" w:tentative="1">
      <w:start w:val="1"/>
      <w:numFmt w:val="bullet"/>
      <w:lvlText w:val=""/>
      <w:lvlJc w:val="left"/>
      <w:pPr>
        <w:ind w:left="2160" w:hanging="360"/>
      </w:pPr>
      <w:rPr>
        <w:rFonts w:ascii="Wingdings" w:hAnsi="Wingdings" w:hint="default"/>
      </w:rPr>
    </w:lvl>
    <w:lvl w:ilvl="3" w:tplc="0268ACB4" w:tentative="1">
      <w:start w:val="1"/>
      <w:numFmt w:val="bullet"/>
      <w:lvlText w:val=""/>
      <w:lvlJc w:val="left"/>
      <w:pPr>
        <w:ind w:left="2880" w:hanging="360"/>
      </w:pPr>
      <w:rPr>
        <w:rFonts w:ascii="Symbol" w:hAnsi="Symbol" w:hint="default"/>
      </w:rPr>
    </w:lvl>
    <w:lvl w:ilvl="4" w:tplc="2098A782" w:tentative="1">
      <w:start w:val="1"/>
      <w:numFmt w:val="bullet"/>
      <w:lvlText w:val="o"/>
      <w:lvlJc w:val="left"/>
      <w:pPr>
        <w:ind w:left="3600" w:hanging="360"/>
      </w:pPr>
      <w:rPr>
        <w:rFonts w:ascii="Courier New" w:hAnsi="Courier New" w:cs="Courier New" w:hint="default"/>
      </w:rPr>
    </w:lvl>
    <w:lvl w:ilvl="5" w:tplc="BB0AF414" w:tentative="1">
      <w:start w:val="1"/>
      <w:numFmt w:val="bullet"/>
      <w:lvlText w:val=""/>
      <w:lvlJc w:val="left"/>
      <w:pPr>
        <w:ind w:left="4320" w:hanging="360"/>
      </w:pPr>
      <w:rPr>
        <w:rFonts w:ascii="Wingdings" w:hAnsi="Wingdings" w:hint="default"/>
      </w:rPr>
    </w:lvl>
    <w:lvl w:ilvl="6" w:tplc="49802D42" w:tentative="1">
      <w:start w:val="1"/>
      <w:numFmt w:val="bullet"/>
      <w:lvlText w:val=""/>
      <w:lvlJc w:val="left"/>
      <w:pPr>
        <w:ind w:left="5040" w:hanging="360"/>
      </w:pPr>
      <w:rPr>
        <w:rFonts w:ascii="Symbol" w:hAnsi="Symbol" w:hint="default"/>
      </w:rPr>
    </w:lvl>
    <w:lvl w:ilvl="7" w:tplc="99DE65BA" w:tentative="1">
      <w:start w:val="1"/>
      <w:numFmt w:val="bullet"/>
      <w:lvlText w:val="o"/>
      <w:lvlJc w:val="left"/>
      <w:pPr>
        <w:ind w:left="5760" w:hanging="360"/>
      </w:pPr>
      <w:rPr>
        <w:rFonts w:ascii="Courier New" w:hAnsi="Courier New" w:cs="Courier New" w:hint="default"/>
      </w:rPr>
    </w:lvl>
    <w:lvl w:ilvl="8" w:tplc="2592939C" w:tentative="1">
      <w:start w:val="1"/>
      <w:numFmt w:val="bullet"/>
      <w:lvlText w:val=""/>
      <w:lvlJc w:val="left"/>
      <w:pPr>
        <w:ind w:left="6480" w:hanging="360"/>
      </w:pPr>
      <w:rPr>
        <w:rFonts w:ascii="Wingdings" w:hAnsi="Wingdings" w:hint="default"/>
      </w:rPr>
    </w:lvl>
  </w:abstractNum>
  <w:abstractNum w:abstractNumId="14" w15:restartNumberingAfterBreak="0">
    <w:nsid w:val="5EBF00E5"/>
    <w:multiLevelType w:val="hybridMultilevel"/>
    <w:tmpl w:val="D636561A"/>
    <w:lvl w:ilvl="0" w:tplc="7ABE375A">
      <w:start w:val="1"/>
      <w:numFmt w:val="decimal"/>
      <w:lvlText w:val="%1."/>
      <w:lvlJc w:val="left"/>
      <w:pPr>
        <w:ind w:left="360" w:hanging="360"/>
      </w:pPr>
      <w:rPr>
        <w:rFonts w:ascii="Arial" w:hAnsi="Arial" w:hint="default"/>
        <w:b w:val="0"/>
        <w:bCs w:val="0"/>
        <w:i w:val="0"/>
        <w:color w:val="auto"/>
        <w:sz w:val="22"/>
        <w:szCs w:val="22"/>
      </w:rPr>
    </w:lvl>
    <w:lvl w:ilvl="1" w:tplc="FE162218" w:tentative="1">
      <w:start w:val="1"/>
      <w:numFmt w:val="lowerLetter"/>
      <w:lvlText w:val="%2."/>
      <w:lvlJc w:val="left"/>
      <w:pPr>
        <w:ind w:left="1080" w:hanging="360"/>
      </w:pPr>
    </w:lvl>
    <w:lvl w:ilvl="2" w:tplc="5B66EEC2" w:tentative="1">
      <w:start w:val="1"/>
      <w:numFmt w:val="lowerRoman"/>
      <w:lvlText w:val="%3."/>
      <w:lvlJc w:val="right"/>
      <w:pPr>
        <w:ind w:left="1800" w:hanging="180"/>
      </w:pPr>
    </w:lvl>
    <w:lvl w:ilvl="3" w:tplc="12AA4674" w:tentative="1">
      <w:start w:val="1"/>
      <w:numFmt w:val="decimal"/>
      <w:lvlText w:val="%4."/>
      <w:lvlJc w:val="left"/>
      <w:pPr>
        <w:ind w:left="2520" w:hanging="360"/>
      </w:pPr>
    </w:lvl>
    <w:lvl w:ilvl="4" w:tplc="4E86D520" w:tentative="1">
      <w:start w:val="1"/>
      <w:numFmt w:val="lowerLetter"/>
      <w:lvlText w:val="%5."/>
      <w:lvlJc w:val="left"/>
      <w:pPr>
        <w:ind w:left="3240" w:hanging="360"/>
      </w:pPr>
    </w:lvl>
    <w:lvl w:ilvl="5" w:tplc="BB12343A" w:tentative="1">
      <w:start w:val="1"/>
      <w:numFmt w:val="lowerRoman"/>
      <w:lvlText w:val="%6."/>
      <w:lvlJc w:val="right"/>
      <w:pPr>
        <w:ind w:left="3960" w:hanging="180"/>
      </w:pPr>
    </w:lvl>
    <w:lvl w:ilvl="6" w:tplc="E604E2EA" w:tentative="1">
      <w:start w:val="1"/>
      <w:numFmt w:val="decimal"/>
      <w:lvlText w:val="%7."/>
      <w:lvlJc w:val="left"/>
      <w:pPr>
        <w:ind w:left="4680" w:hanging="360"/>
      </w:pPr>
    </w:lvl>
    <w:lvl w:ilvl="7" w:tplc="BE8A3896" w:tentative="1">
      <w:start w:val="1"/>
      <w:numFmt w:val="lowerLetter"/>
      <w:lvlText w:val="%8."/>
      <w:lvlJc w:val="left"/>
      <w:pPr>
        <w:ind w:left="5400" w:hanging="360"/>
      </w:pPr>
    </w:lvl>
    <w:lvl w:ilvl="8" w:tplc="2902BE40" w:tentative="1">
      <w:start w:val="1"/>
      <w:numFmt w:val="lowerRoman"/>
      <w:lvlText w:val="%9."/>
      <w:lvlJc w:val="right"/>
      <w:pPr>
        <w:ind w:left="6120" w:hanging="180"/>
      </w:pPr>
    </w:lvl>
  </w:abstractNum>
  <w:abstractNum w:abstractNumId="15" w15:restartNumberingAfterBreak="0">
    <w:nsid w:val="687524EC"/>
    <w:multiLevelType w:val="hybridMultilevel"/>
    <w:tmpl w:val="C83AE318"/>
    <w:lvl w:ilvl="0" w:tplc="1B527080">
      <w:start w:val="1"/>
      <w:numFmt w:val="bullet"/>
      <w:lvlText w:val=""/>
      <w:lvlJc w:val="left"/>
      <w:pPr>
        <w:ind w:left="720" w:hanging="360"/>
      </w:pPr>
      <w:rPr>
        <w:rFonts w:ascii="Symbol" w:hAnsi="Symbol" w:hint="default"/>
        <w:color w:val="7FC444"/>
      </w:rPr>
    </w:lvl>
    <w:lvl w:ilvl="1" w:tplc="368C24AE" w:tentative="1">
      <w:start w:val="1"/>
      <w:numFmt w:val="bullet"/>
      <w:lvlText w:val="o"/>
      <w:lvlJc w:val="left"/>
      <w:pPr>
        <w:ind w:left="1440" w:hanging="360"/>
      </w:pPr>
      <w:rPr>
        <w:rFonts w:ascii="Courier New" w:hAnsi="Courier New" w:cs="Courier New" w:hint="default"/>
      </w:rPr>
    </w:lvl>
    <w:lvl w:ilvl="2" w:tplc="78EC5B7C" w:tentative="1">
      <w:start w:val="1"/>
      <w:numFmt w:val="bullet"/>
      <w:lvlText w:val=""/>
      <w:lvlJc w:val="left"/>
      <w:pPr>
        <w:ind w:left="2160" w:hanging="360"/>
      </w:pPr>
      <w:rPr>
        <w:rFonts w:ascii="Wingdings" w:hAnsi="Wingdings" w:hint="default"/>
      </w:rPr>
    </w:lvl>
    <w:lvl w:ilvl="3" w:tplc="139222A2" w:tentative="1">
      <w:start w:val="1"/>
      <w:numFmt w:val="bullet"/>
      <w:lvlText w:val=""/>
      <w:lvlJc w:val="left"/>
      <w:pPr>
        <w:ind w:left="2880" w:hanging="360"/>
      </w:pPr>
      <w:rPr>
        <w:rFonts w:ascii="Symbol" w:hAnsi="Symbol" w:hint="default"/>
      </w:rPr>
    </w:lvl>
    <w:lvl w:ilvl="4" w:tplc="F1E6B7E4" w:tentative="1">
      <w:start w:val="1"/>
      <w:numFmt w:val="bullet"/>
      <w:lvlText w:val="o"/>
      <w:lvlJc w:val="left"/>
      <w:pPr>
        <w:ind w:left="3600" w:hanging="360"/>
      </w:pPr>
      <w:rPr>
        <w:rFonts w:ascii="Courier New" w:hAnsi="Courier New" w:cs="Courier New" w:hint="default"/>
      </w:rPr>
    </w:lvl>
    <w:lvl w:ilvl="5" w:tplc="38F8D060" w:tentative="1">
      <w:start w:val="1"/>
      <w:numFmt w:val="bullet"/>
      <w:lvlText w:val=""/>
      <w:lvlJc w:val="left"/>
      <w:pPr>
        <w:ind w:left="4320" w:hanging="360"/>
      </w:pPr>
      <w:rPr>
        <w:rFonts w:ascii="Wingdings" w:hAnsi="Wingdings" w:hint="default"/>
      </w:rPr>
    </w:lvl>
    <w:lvl w:ilvl="6" w:tplc="84508558" w:tentative="1">
      <w:start w:val="1"/>
      <w:numFmt w:val="bullet"/>
      <w:lvlText w:val=""/>
      <w:lvlJc w:val="left"/>
      <w:pPr>
        <w:ind w:left="5040" w:hanging="360"/>
      </w:pPr>
      <w:rPr>
        <w:rFonts w:ascii="Symbol" w:hAnsi="Symbol" w:hint="default"/>
      </w:rPr>
    </w:lvl>
    <w:lvl w:ilvl="7" w:tplc="E7A069A0" w:tentative="1">
      <w:start w:val="1"/>
      <w:numFmt w:val="bullet"/>
      <w:lvlText w:val="o"/>
      <w:lvlJc w:val="left"/>
      <w:pPr>
        <w:ind w:left="5760" w:hanging="360"/>
      </w:pPr>
      <w:rPr>
        <w:rFonts w:ascii="Courier New" w:hAnsi="Courier New" w:cs="Courier New" w:hint="default"/>
      </w:rPr>
    </w:lvl>
    <w:lvl w:ilvl="8" w:tplc="B80E7F94" w:tentative="1">
      <w:start w:val="1"/>
      <w:numFmt w:val="bullet"/>
      <w:lvlText w:val=""/>
      <w:lvlJc w:val="left"/>
      <w:pPr>
        <w:ind w:left="6480" w:hanging="360"/>
      </w:pPr>
      <w:rPr>
        <w:rFonts w:ascii="Wingdings" w:hAnsi="Wingdings" w:hint="default"/>
      </w:rPr>
    </w:lvl>
  </w:abstractNum>
  <w:abstractNum w:abstractNumId="16" w15:restartNumberingAfterBreak="0">
    <w:nsid w:val="6E981066"/>
    <w:multiLevelType w:val="hybridMultilevel"/>
    <w:tmpl w:val="29A03522"/>
    <w:lvl w:ilvl="0" w:tplc="DD2A4B9C">
      <w:start w:val="1"/>
      <w:numFmt w:val="bullet"/>
      <w:lvlText w:val=""/>
      <w:lvlJc w:val="left"/>
      <w:pPr>
        <w:ind w:left="720" w:hanging="360"/>
      </w:pPr>
      <w:rPr>
        <w:rFonts w:ascii="Symbol" w:hAnsi="Symbol" w:hint="default"/>
        <w:color w:val="7FC444"/>
      </w:rPr>
    </w:lvl>
    <w:lvl w:ilvl="1" w:tplc="185E20EE" w:tentative="1">
      <w:start w:val="1"/>
      <w:numFmt w:val="bullet"/>
      <w:lvlText w:val="o"/>
      <w:lvlJc w:val="left"/>
      <w:pPr>
        <w:ind w:left="1440" w:hanging="360"/>
      </w:pPr>
      <w:rPr>
        <w:rFonts w:ascii="Courier New" w:hAnsi="Courier New" w:cs="Courier New" w:hint="default"/>
      </w:rPr>
    </w:lvl>
    <w:lvl w:ilvl="2" w:tplc="AD54FA26" w:tentative="1">
      <w:start w:val="1"/>
      <w:numFmt w:val="bullet"/>
      <w:lvlText w:val=""/>
      <w:lvlJc w:val="left"/>
      <w:pPr>
        <w:ind w:left="2160" w:hanging="360"/>
      </w:pPr>
      <w:rPr>
        <w:rFonts w:ascii="Wingdings" w:hAnsi="Wingdings" w:hint="default"/>
      </w:rPr>
    </w:lvl>
    <w:lvl w:ilvl="3" w:tplc="2D98ABEE" w:tentative="1">
      <w:start w:val="1"/>
      <w:numFmt w:val="bullet"/>
      <w:lvlText w:val=""/>
      <w:lvlJc w:val="left"/>
      <w:pPr>
        <w:ind w:left="2880" w:hanging="360"/>
      </w:pPr>
      <w:rPr>
        <w:rFonts w:ascii="Symbol" w:hAnsi="Symbol" w:hint="default"/>
      </w:rPr>
    </w:lvl>
    <w:lvl w:ilvl="4" w:tplc="7E089396" w:tentative="1">
      <w:start w:val="1"/>
      <w:numFmt w:val="bullet"/>
      <w:lvlText w:val="o"/>
      <w:lvlJc w:val="left"/>
      <w:pPr>
        <w:ind w:left="3600" w:hanging="360"/>
      </w:pPr>
      <w:rPr>
        <w:rFonts w:ascii="Courier New" w:hAnsi="Courier New" w:cs="Courier New" w:hint="default"/>
      </w:rPr>
    </w:lvl>
    <w:lvl w:ilvl="5" w:tplc="8F80B3CA" w:tentative="1">
      <w:start w:val="1"/>
      <w:numFmt w:val="bullet"/>
      <w:lvlText w:val=""/>
      <w:lvlJc w:val="left"/>
      <w:pPr>
        <w:ind w:left="4320" w:hanging="360"/>
      </w:pPr>
      <w:rPr>
        <w:rFonts w:ascii="Wingdings" w:hAnsi="Wingdings" w:hint="default"/>
      </w:rPr>
    </w:lvl>
    <w:lvl w:ilvl="6" w:tplc="E91EAB42" w:tentative="1">
      <w:start w:val="1"/>
      <w:numFmt w:val="bullet"/>
      <w:lvlText w:val=""/>
      <w:lvlJc w:val="left"/>
      <w:pPr>
        <w:ind w:left="5040" w:hanging="360"/>
      </w:pPr>
      <w:rPr>
        <w:rFonts w:ascii="Symbol" w:hAnsi="Symbol" w:hint="default"/>
      </w:rPr>
    </w:lvl>
    <w:lvl w:ilvl="7" w:tplc="ACDE515C" w:tentative="1">
      <w:start w:val="1"/>
      <w:numFmt w:val="bullet"/>
      <w:lvlText w:val="o"/>
      <w:lvlJc w:val="left"/>
      <w:pPr>
        <w:ind w:left="5760" w:hanging="360"/>
      </w:pPr>
      <w:rPr>
        <w:rFonts w:ascii="Courier New" w:hAnsi="Courier New" w:cs="Courier New" w:hint="default"/>
      </w:rPr>
    </w:lvl>
    <w:lvl w:ilvl="8" w:tplc="8736BBF8" w:tentative="1">
      <w:start w:val="1"/>
      <w:numFmt w:val="bullet"/>
      <w:lvlText w:val=""/>
      <w:lvlJc w:val="left"/>
      <w:pPr>
        <w:ind w:left="6480" w:hanging="360"/>
      </w:pPr>
      <w:rPr>
        <w:rFonts w:ascii="Wingdings" w:hAnsi="Wingdings" w:hint="default"/>
      </w:rPr>
    </w:lvl>
  </w:abstractNum>
  <w:abstractNum w:abstractNumId="17" w15:restartNumberingAfterBreak="0">
    <w:nsid w:val="7C6872A1"/>
    <w:multiLevelType w:val="hybridMultilevel"/>
    <w:tmpl w:val="700E460A"/>
    <w:lvl w:ilvl="0" w:tplc="1C12264A">
      <w:start w:val="1"/>
      <w:numFmt w:val="bullet"/>
      <w:lvlText w:val=""/>
      <w:lvlJc w:val="left"/>
      <w:pPr>
        <w:tabs>
          <w:tab w:val="num" w:pos="720"/>
        </w:tabs>
        <w:ind w:left="720" w:hanging="360"/>
      </w:pPr>
      <w:rPr>
        <w:rFonts w:ascii="Symbol" w:hAnsi="Symbol" w:hint="default"/>
        <w:color w:val="000000" w:themeColor="text1"/>
        <w:kern w:val="0"/>
        <w:position w:val="0"/>
        <w:sz w:val="22"/>
      </w:rPr>
    </w:lvl>
    <w:lvl w:ilvl="1" w:tplc="5E0C5504" w:tentative="1">
      <w:start w:val="1"/>
      <w:numFmt w:val="bullet"/>
      <w:lvlText w:val="o"/>
      <w:lvlJc w:val="left"/>
      <w:pPr>
        <w:tabs>
          <w:tab w:val="num" w:pos="1440"/>
        </w:tabs>
        <w:ind w:left="1440" w:hanging="360"/>
      </w:pPr>
      <w:rPr>
        <w:rFonts w:ascii="Courier New" w:hAnsi="Courier New" w:hint="default"/>
      </w:rPr>
    </w:lvl>
    <w:lvl w:ilvl="2" w:tplc="ED4ABDD6" w:tentative="1">
      <w:start w:val="1"/>
      <w:numFmt w:val="bullet"/>
      <w:lvlText w:val=""/>
      <w:lvlJc w:val="left"/>
      <w:pPr>
        <w:tabs>
          <w:tab w:val="num" w:pos="2160"/>
        </w:tabs>
        <w:ind w:left="2160" w:hanging="360"/>
      </w:pPr>
      <w:rPr>
        <w:rFonts w:ascii="Wingdings" w:hAnsi="Wingdings" w:hint="default"/>
      </w:rPr>
    </w:lvl>
    <w:lvl w:ilvl="3" w:tplc="6D6C4A8A" w:tentative="1">
      <w:start w:val="1"/>
      <w:numFmt w:val="bullet"/>
      <w:lvlText w:val=""/>
      <w:lvlJc w:val="left"/>
      <w:pPr>
        <w:tabs>
          <w:tab w:val="num" w:pos="2880"/>
        </w:tabs>
        <w:ind w:left="2880" w:hanging="360"/>
      </w:pPr>
      <w:rPr>
        <w:rFonts w:ascii="Symbol" w:hAnsi="Symbol" w:hint="default"/>
      </w:rPr>
    </w:lvl>
    <w:lvl w:ilvl="4" w:tplc="FA30966C" w:tentative="1">
      <w:start w:val="1"/>
      <w:numFmt w:val="bullet"/>
      <w:lvlText w:val="o"/>
      <w:lvlJc w:val="left"/>
      <w:pPr>
        <w:tabs>
          <w:tab w:val="num" w:pos="3600"/>
        </w:tabs>
        <w:ind w:left="3600" w:hanging="360"/>
      </w:pPr>
      <w:rPr>
        <w:rFonts w:ascii="Courier New" w:hAnsi="Courier New" w:hint="default"/>
      </w:rPr>
    </w:lvl>
    <w:lvl w:ilvl="5" w:tplc="28BAC948" w:tentative="1">
      <w:start w:val="1"/>
      <w:numFmt w:val="bullet"/>
      <w:lvlText w:val=""/>
      <w:lvlJc w:val="left"/>
      <w:pPr>
        <w:tabs>
          <w:tab w:val="num" w:pos="4320"/>
        </w:tabs>
        <w:ind w:left="4320" w:hanging="360"/>
      </w:pPr>
      <w:rPr>
        <w:rFonts w:ascii="Wingdings" w:hAnsi="Wingdings" w:hint="default"/>
      </w:rPr>
    </w:lvl>
    <w:lvl w:ilvl="6" w:tplc="6C28DD58" w:tentative="1">
      <w:start w:val="1"/>
      <w:numFmt w:val="bullet"/>
      <w:lvlText w:val=""/>
      <w:lvlJc w:val="left"/>
      <w:pPr>
        <w:tabs>
          <w:tab w:val="num" w:pos="5040"/>
        </w:tabs>
        <w:ind w:left="5040" w:hanging="360"/>
      </w:pPr>
      <w:rPr>
        <w:rFonts w:ascii="Symbol" w:hAnsi="Symbol" w:hint="default"/>
      </w:rPr>
    </w:lvl>
    <w:lvl w:ilvl="7" w:tplc="3BB0330C" w:tentative="1">
      <w:start w:val="1"/>
      <w:numFmt w:val="bullet"/>
      <w:lvlText w:val="o"/>
      <w:lvlJc w:val="left"/>
      <w:pPr>
        <w:tabs>
          <w:tab w:val="num" w:pos="5760"/>
        </w:tabs>
        <w:ind w:left="5760" w:hanging="360"/>
      </w:pPr>
      <w:rPr>
        <w:rFonts w:ascii="Courier New" w:hAnsi="Courier New" w:hint="default"/>
      </w:rPr>
    </w:lvl>
    <w:lvl w:ilvl="8" w:tplc="CD9C91AC"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FEF54B2"/>
    <w:multiLevelType w:val="hybridMultilevel"/>
    <w:tmpl w:val="75B62ACE"/>
    <w:lvl w:ilvl="0" w:tplc="E05A5956">
      <w:start w:val="1"/>
      <w:numFmt w:val="decimal"/>
      <w:lvlText w:val="%1."/>
      <w:lvlJc w:val="left"/>
      <w:pPr>
        <w:ind w:left="720" w:hanging="360"/>
      </w:pPr>
    </w:lvl>
    <w:lvl w:ilvl="1" w:tplc="A4DC3EB0" w:tentative="1">
      <w:start w:val="1"/>
      <w:numFmt w:val="lowerLetter"/>
      <w:lvlText w:val="%2."/>
      <w:lvlJc w:val="left"/>
      <w:pPr>
        <w:ind w:left="1440" w:hanging="360"/>
      </w:pPr>
    </w:lvl>
    <w:lvl w:ilvl="2" w:tplc="473E634E" w:tentative="1">
      <w:start w:val="1"/>
      <w:numFmt w:val="lowerRoman"/>
      <w:lvlText w:val="%3."/>
      <w:lvlJc w:val="right"/>
      <w:pPr>
        <w:ind w:left="2160" w:hanging="180"/>
      </w:pPr>
    </w:lvl>
    <w:lvl w:ilvl="3" w:tplc="1CCE7FE2" w:tentative="1">
      <w:start w:val="1"/>
      <w:numFmt w:val="decimal"/>
      <w:lvlText w:val="%4."/>
      <w:lvlJc w:val="left"/>
      <w:pPr>
        <w:ind w:left="2880" w:hanging="360"/>
      </w:pPr>
    </w:lvl>
    <w:lvl w:ilvl="4" w:tplc="7C286E14" w:tentative="1">
      <w:start w:val="1"/>
      <w:numFmt w:val="lowerLetter"/>
      <w:lvlText w:val="%5."/>
      <w:lvlJc w:val="left"/>
      <w:pPr>
        <w:ind w:left="3600" w:hanging="360"/>
      </w:pPr>
    </w:lvl>
    <w:lvl w:ilvl="5" w:tplc="74B22B18" w:tentative="1">
      <w:start w:val="1"/>
      <w:numFmt w:val="lowerRoman"/>
      <w:lvlText w:val="%6."/>
      <w:lvlJc w:val="right"/>
      <w:pPr>
        <w:ind w:left="4320" w:hanging="180"/>
      </w:pPr>
    </w:lvl>
    <w:lvl w:ilvl="6" w:tplc="88F00854" w:tentative="1">
      <w:start w:val="1"/>
      <w:numFmt w:val="decimal"/>
      <w:lvlText w:val="%7."/>
      <w:lvlJc w:val="left"/>
      <w:pPr>
        <w:ind w:left="5040" w:hanging="360"/>
      </w:pPr>
    </w:lvl>
    <w:lvl w:ilvl="7" w:tplc="E2463B36" w:tentative="1">
      <w:start w:val="1"/>
      <w:numFmt w:val="lowerLetter"/>
      <w:lvlText w:val="%8."/>
      <w:lvlJc w:val="left"/>
      <w:pPr>
        <w:ind w:left="5760" w:hanging="360"/>
      </w:pPr>
    </w:lvl>
    <w:lvl w:ilvl="8" w:tplc="F0CC4A24" w:tentative="1">
      <w:start w:val="1"/>
      <w:numFmt w:val="lowerRoman"/>
      <w:lvlText w:val="%9."/>
      <w:lvlJc w:val="right"/>
      <w:pPr>
        <w:ind w:left="6480" w:hanging="180"/>
      </w:pPr>
    </w:lvl>
  </w:abstractNum>
  <w:num w:numId="1">
    <w:abstractNumId w:val="17"/>
  </w:num>
  <w:num w:numId="2">
    <w:abstractNumId w:val="16"/>
  </w:num>
  <w:num w:numId="3">
    <w:abstractNumId w:val="12"/>
  </w:num>
  <w:num w:numId="4">
    <w:abstractNumId w:val="15"/>
  </w:num>
  <w:num w:numId="5">
    <w:abstractNumId w:val="9"/>
  </w:num>
  <w:num w:numId="6">
    <w:abstractNumId w:val="6"/>
  </w:num>
  <w:num w:numId="7">
    <w:abstractNumId w:val="7"/>
  </w:num>
  <w:num w:numId="8">
    <w:abstractNumId w:val="14"/>
  </w:num>
  <w:num w:numId="9">
    <w:abstractNumId w:val="18"/>
  </w:num>
  <w:num w:numId="10">
    <w:abstractNumId w:val="11"/>
  </w:num>
  <w:num w:numId="11">
    <w:abstractNumId w:val="8"/>
  </w:num>
  <w:num w:numId="12">
    <w:abstractNumId w:val="3"/>
  </w:num>
  <w:num w:numId="13">
    <w:abstractNumId w:val="13"/>
  </w:num>
  <w:num w:numId="14">
    <w:abstractNumId w:val="2"/>
  </w:num>
  <w:num w:numId="15">
    <w:abstractNumId w:val="5"/>
  </w:num>
  <w:num w:numId="16">
    <w:abstractNumId w:val="10"/>
  </w:num>
  <w:num w:numId="17">
    <w:abstractNumId w:val="4"/>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3946"/>
    <w:rsid w:val="00571E7D"/>
    <w:rsid w:val="00E03946"/>
    <w:rsid w:val="00F24962"/>
    <w:rsid w:val="00F771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A21DF"/>
  <w15:docId w15:val="{8F03B50B-B97A-4D4E-9055-6D8503DAB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459D"/>
  </w:style>
  <w:style w:type="paragraph" w:styleId="Heading1">
    <w:name w:val="heading 1"/>
    <w:basedOn w:val="Normal"/>
    <w:link w:val="Heading1Char"/>
    <w:uiPriority w:val="9"/>
    <w:qFormat/>
    <w:rsid w:val="00774B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AD1E77"/>
    <w:pPr>
      <w:spacing w:after="100" w:afterAutospacing="1" w:line="240" w:lineRule="auto"/>
      <w:outlineLvl w:val="1"/>
    </w:pPr>
    <w:rPr>
      <w:rFonts w:asciiTheme="majorHAnsi" w:eastAsia="Times New Roman" w:hAnsiTheme="majorHAnsi" w:cstheme="majorHAnsi"/>
      <w:b/>
      <w:bCs/>
      <w:lang w:eastAsia="en-GB"/>
    </w:rPr>
  </w:style>
  <w:style w:type="paragraph" w:styleId="Heading3">
    <w:name w:val="heading 3"/>
    <w:basedOn w:val="Normal"/>
    <w:next w:val="Normal"/>
    <w:link w:val="Heading3Char"/>
    <w:uiPriority w:val="9"/>
    <w:unhideWhenUsed/>
    <w:qFormat/>
    <w:rsid w:val="005C459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5C459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5C459D"/>
    <w:pPr>
      <w:keepNext/>
      <w:keepLines/>
      <w:spacing w:before="120" w:after="120"/>
      <w:outlineLvl w:val="5"/>
    </w:pPr>
    <w:rPr>
      <w:rFonts w:asciiTheme="majorHAnsi" w:eastAsiaTheme="majorEastAsia" w:hAnsiTheme="majorHAnsi" w:cstheme="majorBidi"/>
      <w:b/>
    </w:rPr>
  </w:style>
  <w:style w:type="paragraph" w:styleId="Heading7">
    <w:name w:val="heading 7"/>
    <w:basedOn w:val="Normal"/>
    <w:next w:val="Normal"/>
    <w:link w:val="Heading7Char"/>
    <w:uiPriority w:val="9"/>
    <w:semiHidden/>
    <w:unhideWhenUsed/>
    <w:qFormat/>
    <w:rsid w:val="005C459D"/>
    <w:pPr>
      <w:keepNext/>
      <w:keepLines/>
      <w:spacing w:before="40" w:after="0"/>
      <w:outlineLvl w:val="6"/>
    </w:pPr>
    <w:rPr>
      <w:rFonts w:asciiTheme="majorHAnsi" w:eastAsiaTheme="majorEastAsia" w:hAnsiTheme="majorHAnsi" w:cstheme="majorBidi"/>
      <w:b/>
      <w:iCs/>
    </w:rPr>
  </w:style>
  <w:style w:type="paragraph" w:styleId="Heading8">
    <w:name w:val="heading 8"/>
    <w:basedOn w:val="Normal"/>
    <w:next w:val="Normal"/>
    <w:link w:val="Heading8Char"/>
    <w:uiPriority w:val="9"/>
    <w:semiHidden/>
    <w:unhideWhenUsed/>
    <w:qFormat/>
    <w:rsid w:val="005C459D"/>
    <w:pPr>
      <w:keepNext/>
      <w:keepLines/>
      <w:spacing w:before="40" w:after="0"/>
      <w:outlineLvl w:val="7"/>
    </w:pPr>
    <w:rPr>
      <w:rFonts w:asciiTheme="majorHAnsi" w:eastAsiaTheme="majorEastAsia" w:hAnsiTheme="majorHAnsi" w:cstheme="majorBidi"/>
      <w:b/>
      <w:color w:val="272727" w:themeColor="text1" w:themeTint="D8"/>
      <w:szCs w:val="21"/>
    </w:rPr>
  </w:style>
  <w:style w:type="paragraph" w:styleId="Heading9">
    <w:name w:val="heading 9"/>
    <w:basedOn w:val="Normal"/>
    <w:next w:val="Normal"/>
    <w:link w:val="Heading9Char"/>
    <w:uiPriority w:val="9"/>
    <w:semiHidden/>
    <w:unhideWhenUsed/>
    <w:qFormat/>
    <w:rsid w:val="005C459D"/>
    <w:pPr>
      <w:keepNext/>
      <w:keepLines/>
      <w:spacing w:before="40" w:after="0"/>
      <w:outlineLvl w:val="8"/>
    </w:pPr>
    <w:rPr>
      <w:rFonts w:asciiTheme="majorHAnsi" w:eastAsiaTheme="majorEastAsia" w:hAnsiTheme="majorHAnsi" w:cstheme="majorBidi"/>
      <w:b/>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4BC4"/>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AD1E77"/>
    <w:rPr>
      <w:rFonts w:asciiTheme="majorHAnsi" w:eastAsia="Times New Roman" w:hAnsiTheme="majorHAnsi" w:cstheme="majorHAnsi"/>
      <w:b/>
      <w:bCs/>
      <w:lang w:eastAsia="en-GB"/>
    </w:rPr>
  </w:style>
  <w:style w:type="paragraph" w:styleId="NormalWeb">
    <w:name w:val="Normal (Web)"/>
    <w:basedOn w:val="Normal"/>
    <w:uiPriority w:val="99"/>
    <w:semiHidden/>
    <w:unhideWhenUsed/>
    <w:rsid w:val="00774BC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tandfirst">
    <w:name w:val="standfirst"/>
    <w:basedOn w:val="Normal"/>
    <w:rsid w:val="00774BC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74BC4"/>
    <w:rPr>
      <w:b/>
      <w:bCs/>
    </w:rPr>
  </w:style>
  <w:style w:type="paragraph" w:styleId="BalloonText">
    <w:name w:val="Balloon Text"/>
    <w:basedOn w:val="Normal"/>
    <w:link w:val="BalloonTextChar"/>
    <w:uiPriority w:val="99"/>
    <w:semiHidden/>
    <w:unhideWhenUsed/>
    <w:rsid w:val="00FB2F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2F2E"/>
    <w:rPr>
      <w:rFonts w:ascii="Tahoma" w:hAnsi="Tahoma" w:cs="Tahoma"/>
      <w:sz w:val="16"/>
      <w:szCs w:val="16"/>
    </w:rPr>
  </w:style>
  <w:style w:type="table" w:styleId="TableGrid">
    <w:name w:val="Table Grid"/>
    <w:basedOn w:val="TableNormal"/>
    <w:uiPriority w:val="39"/>
    <w:rsid w:val="00BC2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A0164F"/>
    <w:pPr>
      <w:spacing w:after="0" w:line="360" w:lineRule="auto"/>
    </w:pPr>
    <w:rPr>
      <w:rFonts w:ascii="Arial" w:eastAsia="Times New Roman" w:hAnsi="Arial" w:cs="Arial"/>
      <w:szCs w:val="24"/>
    </w:rPr>
  </w:style>
  <w:style w:type="character" w:customStyle="1" w:styleId="BodyTextChar">
    <w:name w:val="Body Text Char"/>
    <w:basedOn w:val="DefaultParagraphFont"/>
    <w:link w:val="BodyText"/>
    <w:semiHidden/>
    <w:rsid w:val="00A0164F"/>
    <w:rPr>
      <w:rFonts w:ascii="Arial" w:eastAsia="Times New Roman" w:hAnsi="Arial" w:cs="Arial"/>
      <w:szCs w:val="24"/>
    </w:rPr>
  </w:style>
  <w:style w:type="paragraph" w:styleId="Header">
    <w:name w:val="header"/>
    <w:basedOn w:val="Normal"/>
    <w:link w:val="HeaderChar"/>
    <w:uiPriority w:val="99"/>
    <w:unhideWhenUsed/>
    <w:rsid w:val="003E3A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3AB0"/>
  </w:style>
  <w:style w:type="paragraph" w:styleId="Footer">
    <w:name w:val="footer"/>
    <w:basedOn w:val="Normal"/>
    <w:link w:val="FooterChar"/>
    <w:uiPriority w:val="99"/>
    <w:unhideWhenUsed/>
    <w:rsid w:val="003E3A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3AB0"/>
  </w:style>
  <w:style w:type="paragraph" w:styleId="ListParagraph">
    <w:name w:val="List Paragraph"/>
    <w:basedOn w:val="Normal"/>
    <w:uiPriority w:val="34"/>
    <w:qFormat/>
    <w:rsid w:val="007E4749"/>
    <w:pPr>
      <w:spacing w:after="160" w:line="259" w:lineRule="auto"/>
      <w:ind w:left="720"/>
      <w:contextualSpacing/>
    </w:pPr>
  </w:style>
  <w:style w:type="paragraph" w:customStyle="1" w:styleId="Style1">
    <w:name w:val="Style1"/>
    <w:basedOn w:val="Normal"/>
    <w:qFormat/>
    <w:rsid w:val="005C459D"/>
    <w:pPr>
      <w:spacing w:line="240" w:lineRule="auto"/>
      <w:jc w:val="both"/>
    </w:pPr>
    <w:rPr>
      <w:rFonts w:cstheme="minorHAnsi"/>
      <w:b/>
      <w:bCs/>
    </w:rPr>
  </w:style>
  <w:style w:type="character" w:customStyle="1" w:styleId="Heading3Char">
    <w:name w:val="Heading 3 Char"/>
    <w:basedOn w:val="DefaultParagraphFont"/>
    <w:link w:val="Heading3"/>
    <w:uiPriority w:val="9"/>
    <w:rsid w:val="005C459D"/>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5C459D"/>
    <w:rPr>
      <w:rFonts w:asciiTheme="majorHAnsi" w:eastAsiaTheme="majorEastAsia" w:hAnsiTheme="majorHAnsi" w:cstheme="majorBidi"/>
      <w:i/>
      <w:iCs/>
      <w:color w:val="365F91" w:themeColor="accent1" w:themeShade="BF"/>
    </w:rPr>
  </w:style>
  <w:style w:type="character" w:customStyle="1" w:styleId="Heading6Char">
    <w:name w:val="Heading 6 Char"/>
    <w:basedOn w:val="DefaultParagraphFont"/>
    <w:link w:val="Heading6"/>
    <w:uiPriority w:val="9"/>
    <w:semiHidden/>
    <w:rsid w:val="005C459D"/>
    <w:rPr>
      <w:rFonts w:asciiTheme="majorHAnsi" w:eastAsiaTheme="majorEastAsia" w:hAnsiTheme="majorHAnsi" w:cstheme="majorBidi"/>
      <w:b/>
    </w:rPr>
  </w:style>
  <w:style w:type="character" w:customStyle="1" w:styleId="Heading7Char">
    <w:name w:val="Heading 7 Char"/>
    <w:basedOn w:val="DefaultParagraphFont"/>
    <w:link w:val="Heading7"/>
    <w:uiPriority w:val="9"/>
    <w:semiHidden/>
    <w:rsid w:val="005C459D"/>
    <w:rPr>
      <w:rFonts w:asciiTheme="majorHAnsi" w:eastAsiaTheme="majorEastAsia" w:hAnsiTheme="majorHAnsi" w:cstheme="majorBidi"/>
      <w:b/>
      <w:iCs/>
    </w:rPr>
  </w:style>
  <w:style w:type="character" w:customStyle="1" w:styleId="Heading8Char">
    <w:name w:val="Heading 8 Char"/>
    <w:basedOn w:val="DefaultParagraphFont"/>
    <w:link w:val="Heading8"/>
    <w:uiPriority w:val="9"/>
    <w:semiHidden/>
    <w:rsid w:val="005C459D"/>
    <w:rPr>
      <w:rFonts w:asciiTheme="majorHAnsi" w:eastAsiaTheme="majorEastAsia" w:hAnsiTheme="majorHAnsi" w:cstheme="majorBidi"/>
      <w:b/>
      <w:color w:val="272727" w:themeColor="text1" w:themeTint="D8"/>
      <w:szCs w:val="21"/>
    </w:rPr>
  </w:style>
  <w:style w:type="character" w:customStyle="1" w:styleId="Heading9Char">
    <w:name w:val="Heading 9 Char"/>
    <w:basedOn w:val="DefaultParagraphFont"/>
    <w:link w:val="Heading9"/>
    <w:uiPriority w:val="9"/>
    <w:semiHidden/>
    <w:rsid w:val="005C459D"/>
    <w:rPr>
      <w:rFonts w:asciiTheme="majorHAnsi" w:eastAsiaTheme="majorEastAsia" w:hAnsiTheme="majorHAnsi" w:cstheme="majorBidi"/>
      <w:b/>
      <w:iCs/>
      <w:color w:val="272727" w:themeColor="text1" w:themeTint="D8"/>
      <w:szCs w:val="21"/>
    </w:rPr>
  </w:style>
  <w:style w:type="table" w:customStyle="1" w:styleId="TableGrid4">
    <w:name w:val="Table Grid4"/>
    <w:basedOn w:val="TableNormal"/>
    <w:next w:val="TableGrid"/>
    <w:uiPriority w:val="59"/>
    <w:rsid w:val="00E42C54"/>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E12460"/>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D47E5"/>
    <w:rPr>
      <w:sz w:val="16"/>
      <w:szCs w:val="16"/>
    </w:rPr>
  </w:style>
  <w:style w:type="paragraph" w:styleId="CommentText">
    <w:name w:val="annotation text"/>
    <w:basedOn w:val="Normal"/>
    <w:link w:val="CommentTextChar"/>
    <w:uiPriority w:val="99"/>
    <w:semiHidden/>
    <w:unhideWhenUsed/>
    <w:rsid w:val="00CD47E5"/>
    <w:pPr>
      <w:spacing w:line="240" w:lineRule="auto"/>
    </w:pPr>
    <w:rPr>
      <w:sz w:val="20"/>
      <w:szCs w:val="20"/>
    </w:rPr>
  </w:style>
  <w:style w:type="character" w:customStyle="1" w:styleId="CommentTextChar">
    <w:name w:val="Comment Text Char"/>
    <w:basedOn w:val="DefaultParagraphFont"/>
    <w:link w:val="CommentText"/>
    <w:uiPriority w:val="99"/>
    <w:semiHidden/>
    <w:rsid w:val="00CD47E5"/>
    <w:rPr>
      <w:sz w:val="20"/>
      <w:szCs w:val="20"/>
    </w:rPr>
  </w:style>
  <w:style w:type="paragraph" w:styleId="CommentSubject">
    <w:name w:val="annotation subject"/>
    <w:basedOn w:val="CommentText"/>
    <w:next w:val="CommentText"/>
    <w:link w:val="CommentSubjectChar"/>
    <w:uiPriority w:val="99"/>
    <w:semiHidden/>
    <w:unhideWhenUsed/>
    <w:rsid w:val="00CD47E5"/>
    <w:rPr>
      <w:b/>
      <w:bCs/>
    </w:rPr>
  </w:style>
  <w:style w:type="character" w:customStyle="1" w:styleId="CommentSubjectChar">
    <w:name w:val="Comment Subject Char"/>
    <w:basedOn w:val="CommentTextChar"/>
    <w:link w:val="CommentSubject"/>
    <w:uiPriority w:val="99"/>
    <w:semiHidden/>
    <w:rsid w:val="00CD47E5"/>
    <w:rPr>
      <w:b/>
      <w:bCs/>
      <w:sz w:val="20"/>
      <w:szCs w:val="20"/>
    </w:rPr>
  </w:style>
  <w:style w:type="paragraph" w:styleId="NoSpacing">
    <w:name w:val="No Spacing"/>
    <w:uiPriority w:val="1"/>
    <w:qFormat/>
    <w:rsid w:val="005C2FB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667C7888-20F7-4F37-A89C-583544A9C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15</Pages>
  <Words>5480</Words>
  <Characters>31241</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36648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GX0620</dc:creator>
  <cp:lastModifiedBy>Ruth Rimmington</cp:lastModifiedBy>
  <cp:revision>18</cp:revision>
  <cp:lastPrinted>2014-03-21T13:56:00Z</cp:lastPrinted>
  <dcterms:created xsi:type="dcterms:W3CDTF">2021-11-12T14:40:00Z</dcterms:created>
  <dcterms:modified xsi:type="dcterms:W3CDTF">2021-11-16T10:51:00Z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itteeName">
    <vt:lpwstr>Council</vt:lpwstr>
  </property>
  <property fmtid="{D5CDD505-2E9C-101B-9397-08002B2CF9AE}" pid="3" name="IssueTitle">
    <vt:lpwstr>Corporate Strategy Update 2021</vt:lpwstr>
  </property>
  <property fmtid="{D5CDD505-2E9C-101B-9397-08002B2CF9AE}" pid="4" name="LeadDirector">
    <vt:lpwstr>Chief Executive</vt:lpwstr>
  </property>
  <property fmtid="{D5CDD505-2E9C-101B-9397-08002B2CF9AE}" pid="5" name="LeadMember">
    <vt:lpwstr>Councillor Paul Foster</vt:lpwstr>
  </property>
  <property fmtid="{D5CDD505-2E9C-101B-9397-08002B2CF9AE}" pid="6" name="LeadOfficer">
    <vt:lpwstr>Howard Anthony, Victoria Willett</vt:lpwstr>
  </property>
  <property fmtid="{D5CDD505-2E9C-101B-9397-08002B2CF9AE}" pid="7" name="LeadOfficerEmail">
    <vt:lpwstr>howard.anthony@southribble.gov.uk, vicky.willett@southribble.gov.uk</vt:lpwstr>
  </property>
  <property fmtid="{D5CDD505-2E9C-101B-9397-08002B2CF9AE}" pid="8" name="LeadOfficerPost">
    <vt:lpwstr>South Ribble Partnership Manager, Service Lead - Transformation and Partnerships</vt:lpwstr>
  </property>
  <property fmtid="{D5CDD505-2E9C-101B-9397-08002B2CF9AE}" pid="9" name="MeetingDate">
    <vt:lpwstr>Wednesday, 24 November 2021</vt:lpwstr>
  </property>
  <property fmtid="{D5CDD505-2E9C-101B-9397-08002B2CF9AE}" pid="10" name="MeetingDateLegal">
    <vt:lpwstr>MeetingDateLegal</vt:lpwstr>
  </property>
</Properties>
</file>